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9D2453">
        <w:rPr>
          <w:rFonts w:ascii="Century Gothic" w:hAnsi="Century Gothic"/>
          <w:color w:val="000000" w:themeColor="text1"/>
          <w:sz w:val="20"/>
        </w:rPr>
        <w:t>t.j. Dz.U. z 2025 r. poz. 514</w:t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385A70"/>
    <w:rsid w:val="009D2453"/>
    <w:rsid w:val="00DD218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Monika Smoderek</cp:lastModifiedBy>
  <cp:revision>5</cp:revision>
  <dcterms:created xsi:type="dcterms:W3CDTF">2022-04-28T06:24:00Z</dcterms:created>
  <dcterms:modified xsi:type="dcterms:W3CDTF">2025-05-23T06:26:00Z</dcterms:modified>
</cp:coreProperties>
</file>