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3D10" w14:textId="2D7D4EA4" w:rsidR="00666EAC" w:rsidRPr="00BA3D7A" w:rsidRDefault="00666EAC" w:rsidP="00BA3D7A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iCs/>
          <w:sz w:val="20"/>
          <w:lang w:val="x-none"/>
        </w:rPr>
      </w:pPr>
      <w:r w:rsidRPr="00BA3D7A">
        <w:rPr>
          <w:rFonts w:eastAsia="Times New Roman" w:cs="Calibri"/>
          <w:b/>
          <w:iCs/>
          <w:sz w:val="20"/>
          <w:lang w:val="x-none"/>
        </w:rPr>
        <w:t>OPIS PRZEDMIOTU ZAMÓWIENIA (OPZ)</w:t>
      </w:r>
    </w:p>
    <w:p w14:paraId="3BFD535F" w14:textId="77777777" w:rsidR="00666EAC" w:rsidRPr="00BA3D7A" w:rsidRDefault="00666EAC" w:rsidP="00666EAC">
      <w:pPr>
        <w:rPr>
          <w:rFonts w:cs="Calibri"/>
          <w:iCs/>
          <w:sz w:val="20"/>
          <w:lang w:eastAsia="x-none"/>
        </w:rPr>
      </w:pPr>
    </w:p>
    <w:p w14:paraId="0E063070" w14:textId="5CD2D5ED" w:rsidR="00AB546E" w:rsidRPr="00BA3D7A" w:rsidRDefault="00AB546E" w:rsidP="001E00CD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b/>
          <w:bCs/>
          <w:kern w:val="0"/>
          <w:sz w:val="20"/>
        </w:rPr>
      </w:pPr>
      <w:r w:rsidRPr="00BA3D7A">
        <w:rPr>
          <w:rFonts w:eastAsia="Times New Roman" w:cs="Calibri"/>
          <w:iCs/>
          <w:sz w:val="20"/>
        </w:rPr>
        <w:t xml:space="preserve">Przedmiotem zamówienia jest: </w:t>
      </w:r>
      <w:r w:rsidR="00BF6DA4" w:rsidRPr="00BA3D7A">
        <w:rPr>
          <w:rFonts w:eastAsia="Times New Roman" w:cs="Calibri"/>
          <w:b/>
          <w:bCs/>
          <w:kern w:val="0"/>
          <w:sz w:val="20"/>
        </w:rPr>
        <w:t xml:space="preserve">świadczenie usługi w zakresie przygotowania i przeprowadzenia </w:t>
      </w:r>
      <w:r w:rsidR="00937BDF" w:rsidRPr="00BA3D7A">
        <w:rPr>
          <w:rFonts w:eastAsia="Times New Roman" w:cs="Calibri"/>
          <w:b/>
          <w:bCs/>
          <w:kern w:val="0"/>
          <w:sz w:val="20"/>
        </w:rPr>
        <w:t xml:space="preserve">3 </w:t>
      </w:r>
      <w:r w:rsidR="00BF6DA4" w:rsidRPr="00BA3D7A">
        <w:rPr>
          <w:rFonts w:eastAsia="Times New Roman" w:cs="Calibri"/>
          <w:b/>
          <w:bCs/>
          <w:kern w:val="0"/>
          <w:sz w:val="20"/>
        </w:rPr>
        <w:t>spotkań upowszechniająco-informacyjnych na temat</w:t>
      </w:r>
      <w:r w:rsidR="00937BDF" w:rsidRPr="00BA3D7A">
        <w:rPr>
          <w:rFonts w:eastAsia="Times New Roman" w:cs="Calibri"/>
          <w:b/>
          <w:bCs/>
          <w:kern w:val="0"/>
          <w:sz w:val="20"/>
        </w:rPr>
        <w:t>:</w:t>
      </w:r>
      <w:r w:rsidR="00BF6DA4" w:rsidRPr="00BA3D7A">
        <w:rPr>
          <w:rFonts w:eastAsia="Times New Roman" w:cs="Calibri"/>
          <w:b/>
          <w:bCs/>
          <w:kern w:val="0"/>
          <w:sz w:val="20"/>
        </w:rPr>
        <w:t xml:space="preserve"> </w:t>
      </w:r>
      <w:r w:rsidR="00937BDF" w:rsidRPr="00BA3D7A">
        <w:rPr>
          <w:rFonts w:eastAsia="Times New Roman" w:cs="Calibri"/>
          <w:b/>
          <w:bCs/>
          <w:kern w:val="0"/>
          <w:sz w:val="20"/>
        </w:rPr>
        <w:t>nowych technologii asystujących (dedykowanych osobom z niepełnosprawnościami i starszym); zdalnych usług opiekuńczych/teleopieki oraz systemów wsparcia usług opiekuńczych opartych na rozwiązaniach IT</w:t>
      </w:r>
      <w:r w:rsidR="008266D7" w:rsidRPr="00BA3D7A">
        <w:rPr>
          <w:rFonts w:eastAsia="Times New Roman" w:cs="Calibri"/>
          <w:b/>
          <w:bCs/>
          <w:kern w:val="0"/>
          <w:sz w:val="20"/>
        </w:rPr>
        <w:t xml:space="preserve"> – p</w:t>
      </w:r>
      <w:r w:rsidR="00937BDF" w:rsidRPr="00BA3D7A">
        <w:rPr>
          <w:rFonts w:eastAsia="Times New Roman" w:cs="Calibri"/>
          <w:b/>
          <w:bCs/>
          <w:kern w:val="0"/>
          <w:sz w:val="20"/>
        </w:rPr>
        <w:t xml:space="preserve">rzegląd dostępnych rozwiązań </w:t>
      </w:r>
      <w:r w:rsidR="00BF6DA4" w:rsidRPr="00BA3D7A">
        <w:rPr>
          <w:rFonts w:eastAsia="Times New Roman" w:cs="Calibri"/>
          <w:b/>
          <w:bCs/>
          <w:kern w:val="0"/>
          <w:sz w:val="20"/>
        </w:rPr>
        <w:t xml:space="preserve">wraz z przygotowaniem materiałów edukacyjnych </w:t>
      </w:r>
      <w:r w:rsidR="00BF6DA4" w:rsidRPr="00BA3D7A">
        <w:rPr>
          <w:rFonts w:eastAsia="Times New Roman" w:cs="Calibri"/>
          <w:kern w:val="0"/>
          <w:sz w:val="20"/>
        </w:rPr>
        <w:t>dla uczestników projektu realizowanego przez Dolnośląski Ośrodek Polityki Społecznej we Wrocławiu pn. „Koordynacja działań w zakresie polityki społecznej w województwie dolnośląskim”</w:t>
      </w:r>
      <w:r w:rsidR="00A4410D" w:rsidRPr="00BA3D7A">
        <w:rPr>
          <w:rFonts w:eastAsia="Times New Roman" w:cs="Calibri"/>
          <w:b/>
          <w:bCs/>
          <w:kern w:val="0"/>
          <w:sz w:val="20"/>
        </w:rPr>
        <w:t>.</w:t>
      </w:r>
    </w:p>
    <w:p w14:paraId="23D45FFE" w14:textId="6B1A9C33" w:rsidR="005B706B" w:rsidRPr="00BA3D7A" w:rsidRDefault="00AB546E" w:rsidP="006877E4">
      <w:pPr>
        <w:spacing w:after="240" w:line="252" w:lineRule="auto"/>
        <w:jc w:val="both"/>
        <w:rPr>
          <w:rFonts w:asciiTheme="minorHAnsi" w:eastAsia="Times New Roman" w:hAnsiTheme="minorHAnsi" w:cstheme="minorHAnsi"/>
          <w:iCs/>
          <w:sz w:val="20"/>
          <w:lang w:eastAsia="en-US"/>
        </w:rPr>
      </w:pPr>
      <w:r w:rsidRPr="00BA3D7A">
        <w:rPr>
          <w:rFonts w:asciiTheme="minorHAnsi" w:eastAsia="Times New Roman" w:hAnsiTheme="minorHAnsi" w:cstheme="minorHAnsi"/>
          <w:iCs/>
          <w:sz w:val="20"/>
          <w:lang w:eastAsia="en-US"/>
        </w:rPr>
        <w:t>Projekt jest dofinansowany z Unii Europejskiej w ramach Działania 4.13 Program Fundusze Europejskie dla Rozwoju Społecznego 2021-2027 (FERS)</w:t>
      </w:r>
      <w:r w:rsidR="00543ADD" w:rsidRPr="00BA3D7A">
        <w:rPr>
          <w:rFonts w:asciiTheme="minorHAnsi" w:eastAsia="Times New Roman" w:hAnsiTheme="minorHAnsi" w:cstheme="minorHAnsi"/>
          <w:iCs/>
          <w:sz w:val="20"/>
          <w:lang w:eastAsia="en-US"/>
        </w:rPr>
        <w:t>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8055"/>
      </w:tblGrid>
      <w:tr w:rsidR="000F32F6" w:rsidRPr="00BA3D7A" w14:paraId="2EABAABB" w14:textId="77777777" w:rsidTr="00221245">
        <w:trPr>
          <w:trHeight w:val="12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79058" w14:textId="11214CBB" w:rsidR="000F32F6" w:rsidRPr="00BA3D7A" w:rsidRDefault="000F32F6">
            <w:pPr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t>Przedmiot  zamówienia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1A4" w14:textId="61CD7EDE" w:rsidR="004E76A6" w:rsidRPr="00BA3D7A" w:rsidRDefault="00237730" w:rsidP="00237730">
            <w:p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lang w:eastAsia="en-US"/>
              </w:rPr>
            </w:pPr>
            <w:r w:rsidRPr="00BA3D7A">
              <w:rPr>
                <w:rFonts w:asciiTheme="minorHAnsi" w:eastAsia="Times New Roman" w:hAnsiTheme="minorHAnsi" w:cstheme="minorHAnsi"/>
                <w:iCs/>
                <w:sz w:val="20"/>
                <w:lang w:eastAsia="en-US"/>
              </w:rPr>
              <w:t>Przedmiotem zamówienia jest usługa w zakresie przygotowania i przeprowadzenia</w:t>
            </w:r>
            <w:r w:rsidR="00FC4DB3" w:rsidRPr="00BA3D7A">
              <w:rPr>
                <w:rFonts w:asciiTheme="minorHAnsi" w:eastAsia="Times New Roman" w:hAnsiTheme="minorHAnsi" w:cstheme="minorHAnsi"/>
                <w:iCs/>
                <w:sz w:val="20"/>
                <w:lang w:eastAsia="en-US"/>
              </w:rPr>
              <w:t xml:space="preserve">            </w:t>
            </w:r>
            <w:r w:rsidRPr="00BA3D7A">
              <w:rPr>
                <w:rFonts w:asciiTheme="minorHAnsi" w:eastAsia="Times New Roman" w:hAnsiTheme="minorHAnsi" w:cstheme="minorHAnsi"/>
                <w:iCs/>
                <w:sz w:val="20"/>
                <w:lang w:eastAsia="en-US"/>
              </w:rPr>
              <w:t xml:space="preserve"> </w:t>
            </w:r>
            <w:r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</w:rPr>
              <w:t>spotkań</w:t>
            </w:r>
            <w:r w:rsidR="00AD3735"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</w:rPr>
              <w:t xml:space="preserve"> </w:t>
            </w:r>
            <w:r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</w:rPr>
              <w:t xml:space="preserve">upowszechniająco-informacyjnych </w:t>
            </w:r>
            <w:r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lang w:eastAsia="en-US"/>
              </w:rPr>
              <w:t>na temat</w:t>
            </w:r>
            <w:r w:rsidR="00AD3735"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lang w:eastAsia="en-US"/>
              </w:rPr>
              <w:t>:</w:t>
            </w:r>
            <w:r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lang w:eastAsia="en-US"/>
              </w:rPr>
              <w:t xml:space="preserve"> </w:t>
            </w:r>
            <w:bookmarkStart w:id="0" w:name="_Hlk193112914"/>
            <w:r w:rsidR="00151099"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lang w:eastAsia="en-US"/>
              </w:rPr>
              <w:t>nowych technologii asystujących (dedykowanych osobom z niepełnosprawnościami i starszym</w:t>
            </w:r>
            <w:r w:rsidR="001503AE"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lang w:eastAsia="en-US"/>
              </w:rPr>
              <w:t>)</w:t>
            </w:r>
            <w:r w:rsidR="00AD3735"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lang w:eastAsia="en-US"/>
              </w:rPr>
              <w:t>;</w:t>
            </w:r>
            <w:r w:rsidR="00151099"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lang w:eastAsia="en-US"/>
              </w:rPr>
              <w:t xml:space="preserve"> zdalnych usług opiekuńczych</w:t>
            </w:r>
            <w:r w:rsidR="00937BDF"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lang w:eastAsia="en-US"/>
              </w:rPr>
              <w:t>/</w:t>
            </w:r>
            <w:r w:rsidR="00151099"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lang w:eastAsia="en-US"/>
              </w:rPr>
              <w:t>teleopieki oraz systemów wsparcia usług opiekuńczych opartych na rozwiązaniach IT</w:t>
            </w:r>
            <w:r w:rsidR="008266D7"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lang w:eastAsia="en-US"/>
              </w:rPr>
              <w:t xml:space="preserve"> – p</w:t>
            </w:r>
            <w:r w:rsidR="00151099"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lang w:eastAsia="en-US"/>
              </w:rPr>
              <w:t>rzegląd dostępnych rozwiązań</w:t>
            </w:r>
            <w:r w:rsidR="008266D7" w:rsidRPr="00BA3D7A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lang w:eastAsia="en-US"/>
              </w:rPr>
              <w:t xml:space="preserve"> wraz z przygotowaniem materiałów edukacyjnych dla uczestników projektu realizowanego przez Dolnośląski Ośrodek Polityki Społecznej we Wrocławiu pn. „Koordynacja działań w zakresie polityki społecznej w województwie dolnośląskim”.</w:t>
            </w:r>
          </w:p>
          <w:bookmarkEnd w:id="0"/>
          <w:p w14:paraId="5D08095B" w14:textId="1E511B13" w:rsidR="00237730" w:rsidRPr="00BA3D7A" w:rsidRDefault="00237730" w:rsidP="00237730">
            <w:pPr>
              <w:spacing w:line="276" w:lineRule="auto"/>
              <w:rPr>
                <w:sz w:val="20"/>
              </w:rPr>
            </w:pPr>
            <w:r w:rsidRPr="00BA3D7A">
              <w:rPr>
                <w:sz w:val="20"/>
              </w:rPr>
              <w:t>Zamawiający podaje maksymalną liczbę s</w:t>
            </w:r>
            <w:r w:rsidR="00DB1ED7" w:rsidRPr="00BA3D7A">
              <w:rPr>
                <w:sz w:val="20"/>
              </w:rPr>
              <w:t>potkań</w:t>
            </w:r>
            <w:r w:rsidRPr="00BA3D7A">
              <w:rPr>
                <w:sz w:val="20"/>
              </w:rPr>
              <w:t>. Zamawiający zapłaci za faktyczną liczbę s</w:t>
            </w:r>
            <w:r w:rsidR="00DB1ED7" w:rsidRPr="00BA3D7A">
              <w:rPr>
                <w:sz w:val="20"/>
              </w:rPr>
              <w:t>potkań</w:t>
            </w:r>
            <w:r w:rsidRPr="00BA3D7A">
              <w:rPr>
                <w:sz w:val="20"/>
              </w:rPr>
              <w:t xml:space="preserve"> zgłoszonych do realizacji Wykonawcy przez Zamawiającego.</w:t>
            </w:r>
          </w:p>
          <w:p w14:paraId="3D702389" w14:textId="679495C1" w:rsidR="004C0750" w:rsidRPr="00BA3D7A" w:rsidRDefault="00237730" w:rsidP="00CF6EC8">
            <w:pPr>
              <w:spacing w:line="276" w:lineRule="auto"/>
              <w:rPr>
                <w:sz w:val="20"/>
              </w:rPr>
            </w:pPr>
            <w:r w:rsidRPr="00BA3D7A">
              <w:rPr>
                <w:sz w:val="20"/>
              </w:rPr>
              <w:t>Zamawiający zastrzega, iż w razie zrekrutowania poniżej 60% założonej liczby osób (uczestników) na dane s</w:t>
            </w:r>
            <w:r w:rsidR="0042299F" w:rsidRPr="00BA3D7A">
              <w:rPr>
                <w:sz w:val="20"/>
              </w:rPr>
              <w:t>potkanie</w:t>
            </w:r>
            <w:r w:rsidRPr="00BA3D7A">
              <w:rPr>
                <w:sz w:val="20"/>
              </w:rPr>
              <w:t xml:space="preserve"> (wówczas organizacja spotkania nie leży w interesie Zamawiającego) -  s</w:t>
            </w:r>
            <w:r w:rsidR="0042299F" w:rsidRPr="00BA3D7A">
              <w:rPr>
                <w:sz w:val="20"/>
              </w:rPr>
              <w:t>potkanie</w:t>
            </w:r>
            <w:r w:rsidRPr="00BA3D7A">
              <w:rPr>
                <w:sz w:val="20"/>
              </w:rPr>
              <w:t xml:space="preserve"> może zostać przesunięte na inny termin lub odwołane bez ponoszenia jakichkolwiek kosztów przez Zamawiającego (s</w:t>
            </w:r>
            <w:r w:rsidR="0042299F" w:rsidRPr="00BA3D7A">
              <w:rPr>
                <w:sz w:val="20"/>
              </w:rPr>
              <w:t>potkania</w:t>
            </w:r>
            <w:r w:rsidRPr="00BA3D7A">
              <w:rPr>
                <w:sz w:val="20"/>
              </w:rPr>
              <w:t xml:space="preserve"> nie będą wówczas zgłoszone Wykonawcy do realizacji). </w:t>
            </w:r>
            <w:r w:rsidR="004C0750" w:rsidRPr="00BA3D7A">
              <w:rPr>
                <w:sz w:val="20"/>
              </w:rPr>
              <w:t>Co oznacza, że jeśli na dany termin spotkania nie zgłosi się minimum 18 osób, wtedy to spotkanie to nie będzie realizowane a Zamawiający nie poniesie kosztów (dotyczy to wszystkich spotkań).</w:t>
            </w:r>
          </w:p>
          <w:p w14:paraId="560AE809" w14:textId="46BF8C24" w:rsidR="000F7195" w:rsidRPr="00BA3D7A" w:rsidRDefault="00237730" w:rsidP="00CF6EC8">
            <w:pPr>
              <w:spacing w:line="276" w:lineRule="auto"/>
              <w:rPr>
                <w:sz w:val="20"/>
              </w:rPr>
            </w:pPr>
            <w:r w:rsidRPr="00BA3D7A">
              <w:rPr>
                <w:sz w:val="20"/>
              </w:rPr>
              <w:t>Wykonawca o tym fakcie zostanie poinformowany na najpóźniej pięć dni roboczych przed rozpoczęciem s</w:t>
            </w:r>
            <w:r w:rsidR="0042299F" w:rsidRPr="00BA3D7A">
              <w:rPr>
                <w:sz w:val="20"/>
              </w:rPr>
              <w:t>potkania</w:t>
            </w:r>
            <w:r w:rsidRPr="00BA3D7A">
              <w:rPr>
                <w:sz w:val="20"/>
              </w:rPr>
              <w:t>.</w:t>
            </w:r>
          </w:p>
          <w:p w14:paraId="6A249839" w14:textId="0A9D1B43" w:rsidR="00BA5983" w:rsidRPr="00BA3D7A" w:rsidRDefault="00BA5983" w:rsidP="00CF6EC8">
            <w:pPr>
              <w:spacing w:line="276" w:lineRule="auto"/>
              <w:rPr>
                <w:sz w:val="20"/>
              </w:rPr>
            </w:pPr>
            <w:r w:rsidRPr="00BA3D7A">
              <w:rPr>
                <w:sz w:val="20"/>
              </w:rPr>
              <w:t>W zamówieniu należy przyjąć maksymalną ilość spotkań, która może ulec zmniejszeniu i/lub całkowitemu odwołaniu.</w:t>
            </w:r>
          </w:p>
          <w:p w14:paraId="5F0BCD77" w14:textId="0A96CB88" w:rsidR="00237730" w:rsidRPr="00BA3D7A" w:rsidRDefault="00237730" w:rsidP="00E461FF">
            <w:pPr>
              <w:spacing w:after="240" w:line="276" w:lineRule="auto"/>
              <w:rPr>
                <w:rFonts w:asciiTheme="minorHAnsi" w:eastAsia="Times New Roman" w:hAnsiTheme="minorHAnsi" w:cstheme="minorHAnsi"/>
                <w:iCs/>
                <w:sz w:val="20"/>
                <w:lang w:eastAsia="en-US"/>
              </w:rPr>
            </w:pPr>
            <w:r w:rsidRPr="00BA3D7A">
              <w:rPr>
                <w:rFonts w:asciiTheme="minorHAnsi" w:eastAsia="Times New Roman" w:hAnsiTheme="minorHAnsi" w:cstheme="minorHAnsi"/>
                <w:iCs/>
                <w:sz w:val="20"/>
                <w:lang w:eastAsia="en-US"/>
              </w:rPr>
              <w:t>S</w:t>
            </w:r>
            <w:r w:rsidR="0042299F" w:rsidRPr="00BA3D7A">
              <w:rPr>
                <w:rFonts w:asciiTheme="minorHAnsi" w:eastAsia="Times New Roman" w:hAnsiTheme="minorHAnsi" w:cstheme="minorHAnsi"/>
                <w:iCs/>
                <w:sz w:val="20"/>
                <w:lang w:eastAsia="en-US"/>
              </w:rPr>
              <w:t>potkania są</w:t>
            </w:r>
            <w:r w:rsidRPr="00BA3D7A">
              <w:rPr>
                <w:rFonts w:asciiTheme="minorHAnsi" w:eastAsia="Times New Roman" w:hAnsiTheme="minorHAnsi" w:cstheme="minorHAnsi"/>
                <w:iCs/>
                <w:sz w:val="20"/>
                <w:lang w:eastAsia="en-US"/>
              </w:rPr>
              <w:t xml:space="preserve"> organizowane jest dla uczestników projektu - pracowników</w:t>
            </w:r>
            <w:r w:rsidRPr="00BA3D7A">
              <w:rPr>
                <w:rFonts w:cstheme="minorHAnsi"/>
                <w:sz w:val="20"/>
              </w:rPr>
              <w:t xml:space="preserve"> instytucji i podmiotów działających na rzecz włączenia społecznego</w:t>
            </w:r>
            <w:r w:rsidRPr="00BA3D7A">
              <w:rPr>
                <w:rStyle w:val="Odwoanieprzypisudolnego"/>
                <w:rFonts w:cstheme="minorHAnsi"/>
                <w:sz w:val="20"/>
              </w:rPr>
              <w:footnoteReference w:id="1"/>
            </w:r>
            <w:r w:rsidRPr="00BA3D7A">
              <w:rPr>
                <w:rFonts w:cstheme="minorHAnsi"/>
                <w:sz w:val="20"/>
              </w:rPr>
              <w:t xml:space="preserve"> zatrudnieni jako:                      </w:t>
            </w:r>
            <w:r w:rsidRPr="00BA3D7A">
              <w:rPr>
                <w:rFonts w:cs="Calibri"/>
                <w:kern w:val="0"/>
                <w:sz w:val="20"/>
                <w:lang w:eastAsia="en-US"/>
                <w14:ligatures w14:val="standardContextual"/>
              </w:rPr>
              <w:t>1. pracownicy socjalni, w tym zatrudnieni w placówkach</w:t>
            </w:r>
            <w:r w:rsidRPr="00BA3D7A">
              <w:rPr>
                <w:rFonts w:asciiTheme="minorHAnsi" w:eastAsia="Times New Roman" w:hAnsiTheme="minorHAnsi" w:cstheme="minorHAnsi"/>
                <w:iCs/>
                <w:sz w:val="20"/>
                <w:lang w:eastAsia="en-US"/>
              </w:rPr>
              <w:t xml:space="preserve"> </w:t>
            </w:r>
            <w:r w:rsidRPr="00BA3D7A">
              <w:rPr>
                <w:rFonts w:cs="Calibri"/>
                <w:kern w:val="0"/>
                <w:sz w:val="20"/>
                <w:lang w:eastAsia="en-US"/>
                <w14:ligatures w14:val="standardContextual"/>
              </w:rPr>
              <w:t>ochrony zdrowia</w:t>
            </w:r>
            <w:r w:rsidRPr="00BA3D7A">
              <w:rPr>
                <w:rFonts w:asciiTheme="minorHAnsi" w:eastAsia="Times New Roman" w:hAnsiTheme="minorHAnsi" w:cstheme="minorHAnsi"/>
                <w:iCs/>
                <w:sz w:val="20"/>
                <w:lang w:eastAsia="en-US"/>
              </w:rPr>
              <w:t xml:space="preserve"> </w:t>
            </w:r>
            <w:r w:rsidRPr="00BA3D7A">
              <w:rPr>
                <w:rFonts w:cs="Calibri"/>
                <w:kern w:val="0"/>
                <w:sz w:val="20"/>
                <w:lang w:eastAsia="en-US"/>
                <w14:ligatures w14:val="standardContextual"/>
              </w:rPr>
              <w:t>2. pracownicy instytucji pomocy społecznej oraz</w:t>
            </w:r>
            <w:r w:rsidRPr="00BA3D7A">
              <w:rPr>
                <w:rFonts w:asciiTheme="minorHAnsi" w:eastAsia="Times New Roman" w:hAnsiTheme="minorHAnsi" w:cstheme="minorHAnsi"/>
                <w:iCs/>
                <w:sz w:val="20"/>
                <w:lang w:eastAsia="en-US"/>
              </w:rPr>
              <w:t xml:space="preserve"> </w:t>
            </w:r>
            <w:r w:rsidRPr="00BA3D7A">
              <w:rPr>
                <w:rFonts w:cs="Calibri"/>
                <w:kern w:val="0"/>
                <w:sz w:val="20"/>
                <w:lang w:eastAsia="en-US"/>
                <w14:ligatures w14:val="standardContextual"/>
              </w:rPr>
              <w:t>podmiotów działających na rzecz włączenia</w:t>
            </w:r>
            <w:r w:rsidRPr="00BA3D7A">
              <w:rPr>
                <w:rFonts w:asciiTheme="minorHAnsi" w:eastAsia="Times New Roman" w:hAnsiTheme="minorHAnsi" w:cstheme="minorHAnsi"/>
                <w:iCs/>
                <w:sz w:val="20"/>
                <w:lang w:eastAsia="en-US"/>
              </w:rPr>
              <w:t xml:space="preserve"> </w:t>
            </w:r>
            <w:r w:rsidRPr="00BA3D7A">
              <w:rPr>
                <w:rFonts w:cs="Calibri"/>
                <w:kern w:val="0"/>
                <w:sz w:val="20"/>
                <w:lang w:eastAsia="en-US"/>
                <w14:ligatures w14:val="standardContextual"/>
              </w:rPr>
              <w:t>społecznego, w tym zajmujący się organizacją usług</w:t>
            </w:r>
            <w:r w:rsidR="00E461FF" w:rsidRPr="00BA3D7A">
              <w:rPr>
                <w:rFonts w:asciiTheme="minorHAnsi" w:eastAsia="Times New Roman" w:hAnsiTheme="minorHAnsi" w:cstheme="minorHAnsi"/>
                <w:iCs/>
                <w:sz w:val="20"/>
                <w:lang w:eastAsia="en-US"/>
              </w:rPr>
              <w:t xml:space="preserve"> </w:t>
            </w:r>
            <w:r w:rsidRPr="00BA3D7A">
              <w:rPr>
                <w:rFonts w:cs="Calibri"/>
                <w:kern w:val="0"/>
                <w:sz w:val="20"/>
                <w:lang w:eastAsia="en-US"/>
                <w14:ligatures w14:val="standardContextual"/>
              </w:rPr>
              <w:t>społecznych; 3. pracownicy JST, w tym przedstawiciele władz samorządowych szczebla gminnego i powiatowego; 4. kadra podmiotów działających w obszarze wspierania rodziny, systemu pieczy zastępczej oraz adopcji oraz</w:t>
            </w:r>
            <w:r w:rsidR="00E461FF" w:rsidRPr="00BA3D7A">
              <w:rPr>
                <w:rFonts w:asciiTheme="minorHAnsi" w:eastAsia="Times New Roman" w:hAnsiTheme="minorHAnsi" w:cstheme="minorHAnsi"/>
                <w:iCs/>
                <w:sz w:val="20"/>
                <w:lang w:eastAsia="en-US"/>
              </w:rPr>
              <w:t xml:space="preserve"> </w:t>
            </w:r>
            <w:r w:rsidRPr="00BA3D7A">
              <w:rPr>
                <w:rFonts w:cs="Calibri"/>
                <w:kern w:val="0"/>
                <w:sz w:val="20"/>
                <w:lang w:eastAsia="en-US"/>
                <w14:ligatures w14:val="standardContextual"/>
              </w:rPr>
              <w:t xml:space="preserve">ich otoczenie (otoczenie rozumiane jako podmioty i instytucje współdziałające w powyższym zakresie z ww. podmiotami, wśród których </w:t>
            </w:r>
            <w:r w:rsidRPr="00BA3D7A">
              <w:rPr>
                <w:rFonts w:cs="Calibri"/>
                <w:kern w:val="0"/>
                <w:sz w:val="20"/>
                <w:lang w:eastAsia="en-US"/>
                <w14:ligatures w14:val="standardContextual"/>
              </w:rPr>
              <w:lastRenderedPageBreak/>
              <w:t>można wyróżnić sędziów,</w:t>
            </w:r>
            <w:r w:rsidR="00E461FF" w:rsidRPr="00BA3D7A">
              <w:rPr>
                <w:rFonts w:asciiTheme="minorHAnsi" w:eastAsia="Times New Roman" w:hAnsiTheme="minorHAnsi" w:cstheme="minorHAnsi"/>
                <w:iCs/>
                <w:sz w:val="20"/>
                <w:lang w:eastAsia="en-US"/>
              </w:rPr>
              <w:t xml:space="preserve"> </w:t>
            </w:r>
            <w:r w:rsidRPr="00BA3D7A">
              <w:rPr>
                <w:rFonts w:cs="Calibri"/>
                <w:kern w:val="0"/>
                <w:sz w:val="20"/>
                <w:lang w:eastAsia="en-US"/>
                <w14:ligatures w14:val="standardContextual"/>
              </w:rPr>
              <w:t>kuratorów sądowych, pedagogów rodziny, pracowników ochrony zdrowia, pracowników socjalnych i innych).</w:t>
            </w:r>
          </w:p>
          <w:p w14:paraId="366DD802" w14:textId="00D1DC90" w:rsidR="00A93AC7" w:rsidRPr="00BA3D7A" w:rsidRDefault="000F32F6" w:rsidP="004C0750">
            <w:pPr>
              <w:rPr>
                <w:rFonts w:cs="Calibri"/>
                <w:b/>
                <w:bCs/>
                <w:sz w:val="20"/>
              </w:rPr>
            </w:pPr>
            <w:r w:rsidRPr="00BA3D7A">
              <w:rPr>
                <w:rFonts w:cs="Calibri"/>
                <w:b/>
                <w:bCs/>
                <w:sz w:val="20"/>
              </w:rPr>
              <w:t xml:space="preserve">Cel spotkania: </w:t>
            </w:r>
            <w:r w:rsidR="00F33E37" w:rsidRPr="00BA3D7A">
              <w:rPr>
                <w:rFonts w:cs="Calibri"/>
                <w:b/>
                <w:bCs/>
                <w:sz w:val="20"/>
              </w:rPr>
              <w:t>z</w:t>
            </w:r>
            <w:r w:rsidRPr="00BA3D7A">
              <w:rPr>
                <w:rFonts w:cs="Calibri"/>
                <w:b/>
                <w:bCs/>
                <w:sz w:val="20"/>
              </w:rPr>
              <w:t>aprezentowanie tematyki</w:t>
            </w:r>
            <w:r w:rsidR="006E0E2E" w:rsidRPr="00BA3D7A">
              <w:rPr>
                <w:rFonts w:cs="Calibri"/>
                <w:b/>
                <w:bCs/>
                <w:sz w:val="20"/>
              </w:rPr>
              <w:t xml:space="preserve"> dotyczącej nowych sposobów działania, rozwiązań oraz </w:t>
            </w:r>
            <w:r w:rsidR="00171A58" w:rsidRPr="00BA3D7A">
              <w:rPr>
                <w:rFonts w:cs="Calibri"/>
                <w:b/>
                <w:bCs/>
                <w:sz w:val="20"/>
              </w:rPr>
              <w:t>nowoczesnych</w:t>
            </w:r>
            <w:r w:rsidR="006E0E2E" w:rsidRPr="00BA3D7A">
              <w:rPr>
                <w:rFonts w:cs="Calibri"/>
                <w:b/>
                <w:bCs/>
                <w:sz w:val="20"/>
              </w:rPr>
              <w:t xml:space="preserve"> technologii służących m.in. poprawie jakości trafności, skuteczności, efektywności i użyteczności świadczonych w obszarze usług opiekuńczych </w:t>
            </w:r>
            <w:r w:rsidR="003949DA" w:rsidRPr="00BA3D7A">
              <w:rPr>
                <w:rFonts w:cs="Calibri"/>
                <w:b/>
                <w:bCs/>
                <w:sz w:val="20"/>
              </w:rPr>
              <w:t xml:space="preserve">skierowanych do osób starszych i z niepełnosprawnościami </w:t>
            </w:r>
            <w:r w:rsidR="006E0E2E" w:rsidRPr="00BA3D7A">
              <w:rPr>
                <w:rFonts w:cs="Calibri"/>
                <w:b/>
                <w:bCs/>
                <w:sz w:val="20"/>
              </w:rPr>
              <w:t xml:space="preserve">wraz z przygotowaniem materiałów edukacyjnych podczas 3 spotkań zgodnie z niżej opisaną </w:t>
            </w:r>
            <w:r w:rsidR="0003101A" w:rsidRPr="00BA3D7A">
              <w:rPr>
                <w:rFonts w:cs="Calibri"/>
                <w:b/>
                <w:bCs/>
                <w:sz w:val="20"/>
              </w:rPr>
              <w:t>tematyką</w:t>
            </w:r>
            <w:r w:rsidR="006E0E2E" w:rsidRPr="00BA3D7A">
              <w:rPr>
                <w:rFonts w:cs="Calibri"/>
                <w:b/>
                <w:bCs/>
                <w:sz w:val="20"/>
              </w:rPr>
              <w:t>:</w:t>
            </w:r>
          </w:p>
          <w:p w14:paraId="5EB9F88E" w14:textId="2130B5B8" w:rsidR="00A93AC7" w:rsidRPr="00BA3D7A" w:rsidRDefault="004B1A7F" w:rsidP="004C0750">
            <w:pPr>
              <w:rPr>
                <w:rFonts w:cs="Calibri"/>
                <w:b/>
                <w:bCs/>
                <w:sz w:val="20"/>
              </w:rPr>
            </w:pPr>
            <w:r w:rsidRPr="00BA3D7A">
              <w:rPr>
                <w:rFonts w:cs="Calibri"/>
                <w:b/>
                <w:bCs/>
                <w:sz w:val="20"/>
              </w:rPr>
              <w:t xml:space="preserve">nowe technologie asystujące (dla osób </w:t>
            </w:r>
            <w:r w:rsidR="003949DA" w:rsidRPr="00BA3D7A">
              <w:rPr>
                <w:rFonts w:cs="Calibri"/>
                <w:b/>
                <w:bCs/>
                <w:sz w:val="20"/>
              </w:rPr>
              <w:t xml:space="preserve">starszych i </w:t>
            </w:r>
            <w:r w:rsidRPr="00BA3D7A">
              <w:rPr>
                <w:rFonts w:cs="Calibri"/>
                <w:b/>
                <w:bCs/>
                <w:sz w:val="20"/>
              </w:rPr>
              <w:t>z niepełnosprawnościami)</w:t>
            </w:r>
            <w:r w:rsidR="00AD3735" w:rsidRPr="00BA3D7A">
              <w:rPr>
                <w:rFonts w:cs="Calibri"/>
                <w:b/>
                <w:bCs/>
                <w:sz w:val="20"/>
              </w:rPr>
              <w:t>;</w:t>
            </w:r>
            <w:r w:rsidRPr="00BA3D7A">
              <w:rPr>
                <w:rFonts w:cs="Calibri"/>
                <w:b/>
                <w:bCs/>
                <w:sz w:val="20"/>
              </w:rPr>
              <w:t xml:space="preserve"> zdalne usługi opiekuńcze</w:t>
            </w:r>
            <w:r w:rsidR="00171A58" w:rsidRPr="00BA3D7A">
              <w:rPr>
                <w:rFonts w:cs="Calibri"/>
                <w:b/>
                <w:bCs/>
                <w:sz w:val="20"/>
              </w:rPr>
              <w:t>/</w:t>
            </w:r>
            <w:r w:rsidRPr="00BA3D7A">
              <w:rPr>
                <w:rFonts w:cs="Calibri"/>
                <w:b/>
                <w:bCs/>
                <w:sz w:val="20"/>
              </w:rPr>
              <w:t>teleopieka oraz systemy wsparcia usług opiekuńczych opartych na rozwiązaniach IT. Przegląd dostępnych rozwiązań.</w:t>
            </w:r>
          </w:p>
          <w:p w14:paraId="4EF3F0FB" w14:textId="77777777" w:rsidR="004B1A7F" w:rsidRPr="00BA3D7A" w:rsidRDefault="004B1A7F" w:rsidP="00F308C9">
            <w:pPr>
              <w:jc w:val="both"/>
              <w:rPr>
                <w:rFonts w:cs="Calibri"/>
                <w:sz w:val="20"/>
              </w:rPr>
            </w:pPr>
          </w:p>
          <w:p w14:paraId="1FB644D0" w14:textId="41CCDFA7" w:rsidR="00F308C9" w:rsidRPr="00BA3D7A" w:rsidRDefault="00F308C9" w:rsidP="00F308C9">
            <w:pPr>
              <w:jc w:val="both"/>
              <w:rPr>
                <w:rFonts w:cs="Calibri"/>
                <w:sz w:val="20"/>
              </w:rPr>
            </w:pPr>
            <w:r w:rsidRPr="00BA3D7A">
              <w:rPr>
                <w:rFonts w:cs="Calibri"/>
                <w:sz w:val="20"/>
              </w:rPr>
              <w:t>Podczas spotka</w:t>
            </w:r>
            <w:r w:rsidR="009766B0" w:rsidRPr="00BA3D7A">
              <w:rPr>
                <w:rFonts w:cs="Calibri"/>
                <w:sz w:val="20"/>
              </w:rPr>
              <w:t>ń</w:t>
            </w:r>
            <w:r w:rsidRPr="00BA3D7A">
              <w:rPr>
                <w:rFonts w:cs="Calibri"/>
                <w:sz w:val="20"/>
              </w:rPr>
              <w:t xml:space="preserve"> należy przedstawić</w:t>
            </w:r>
            <w:r w:rsidR="00A93AC7" w:rsidRPr="00BA3D7A">
              <w:rPr>
                <w:rFonts w:cs="Calibri"/>
                <w:sz w:val="20"/>
              </w:rPr>
              <w:t xml:space="preserve"> zgodnie z poniższym tematem</w:t>
            </w:r>
            <w:r w:rsidR="009766B0" w:rsidRPr="00BA3D7A">
              <w:rPr>
                <w:rFonts w:cs="Calibri"/>
                <w:sz w:val="20"/>
              </w:rPr>
              <w:t xml:space="preserve"> następujące zagadnienia</w:t>
            </w:r>
            <w:r w:rsidRPr="00BA3D7A">
              <w:rPr>
                <w:rFonts w:cs="Calibri"/>
                <w:sz w:val="20"/>
              </w:rPr>
              <w:t>:</w:t>
            </w:r>
          </w:p>
          <w:p w14:paraId="361B18AE" w14:textId="6CA2BE93" w:rsidR="009D2098" w:rsidRPr="00BA3D7A" w:rsidRDefault="009D2098">
            <w:pPr>
              <w:pStyle w:val="Akapitzlist"/>
              <w:numPr>
                <w:ilvl w:val="0"/>
                <w:numId w:val="24"/>
              </w:numPr>
              <w:jc w:val="both"/>
              <w:rPr>
                <w:rFonts w:cs="Calibri"/>
                <w:sz w:val="20"/>
                <w:szCs w:val="20"/>
              </w:rPr>
            </w:pPr>
            <w:r w:rsidRPr="00BA3D7A">
              <w:rPr>
                <w:rFonts w:cs="Calibri"/>
                <w:sz w:val="20"/>
                <w:szCs w:val="20"/>
              </w:rPr>
              <w:t>Wprowadzenie do tematu spotkania</w:t>
            </w:r>
            <w:r w:rsidR="00792256" w:rsidRPr="00BA3D7A">
              <w:rPr>
                <w:rFonts w:cs="Calibri"/>
                <w:sz w:val="20"/>
                <w:szCs w:val="20"/>
              </w:rPr>
              <w:t>. Jak rozwija się branża związana z nowymi technologiami w obszarze usług opiekuńczych? Jakie rozwiązania IT wprowadzają samorządy</w:t>
            </w:r>
            <w:r w:rsidR="00A55BA0" w:rsidRPr="00BA3D7A">
              <w:rPr>
                <w:rFonts w:cs="Calibri"/>
                <w:sz w:val="20"/>
                <w:szCs w:val="20"/>
              </w:rPr>
              <w:t>? Jakie rozwiązania sprawdzają się najlepiej?</w:t>
            </w:r>
          </w:p>
          <w:p w14:paraId="0365EEF3" w14:textId="36E046A6" w:rsidR="00F308C9" w:rsidRPr="00BA3D7A" w:rsidRDefault="00170141">
            <w:pPr>
              <w:pStyle w:val="Akapitzlist"/>
              <w:numPr>
                <w:ilvl w:val="0"/>
                <w:numId w:val="24"/>
              </w:numPr>
              <w:jc w:val="both"/>
              <w:rPr>
                <w:rFonts w:cs="Calibri"/>
                <w:sz w:val="20"/>
                <w:szCs w:val="20"/>
              </w:rPr>
            </w:pPr>
            <w:r w:rsidRPr="00BA3D7A">
              <w:rPr>
                <w:rFonts w:cs="Calibri"/>
                <w:sz w:val="20"/>
                <w:szCs w:val="20"/>
              </w:rPr>
              <w:t>N</w:t>
            </w:r>
            <w:r w:rsidR="00A93AC7" w:rsidRPr="00BA3D7A">
              <w:rPr>
                <w:rFonts w:cs="Calibri"/>
                <w:sz w:val="20"/>
                <w:szCs w:val="20"/>
              </w:rPr>
              <w:t>owe technologie asystujące</w:t>
            </w:r>
            <w:r w:rsidR="0027439F" w:rsidRPr="00BA3D7A">
              <w:rPr>
                <w:rFonts w:cs="Calibri"/>
                <w:sz w:val="20"/>
                <w:szCs w:val="20"/>
              </w:rPr>
              <w:t>,</w:t>
            </w:r>
            <w:r w:rsidRPr="00BA3D7A">
              <w:rPr>
                <w:rFonts w:cs="Calibri"/>
                <w:sz w:val="20"/>
                <w:szCs w:val="20"/>
              </w:rPr>
              <w:t xml:space="preserve"> pomagające</w:t>
            </w:r>
            <w:r w:rsidR="00351179" w:rsidRPr="00BA3D7A">
              <w:rPr>
                <w:rFonts w:cs="Calibri"/>
                <w:sz w:val="20"/>
                <w:szCs w:val="20"/>
              </w:rPr>
              <w:t xml:space="preserve"> osobom z niepełnosprawnościami i osobom starszym </w:t>
            </w:r>
            <w:r w:rsidRPr="00BA3D7A">
              <w:rPr>
                <w:rFonts w:cs="Calibri"/>
                <w:sz w:val="20"/>
                <w:szCs w:val="20"/>
              </w:rPr>
              <w:t xml:space="preserve"> w codziennym funkcjonowaniu</w:t>
            </w:r>
            <w:r w:rsidR="004D742C" w:rsidRPr="00BA3D7A">
              <w:rPr>
                <w:rFonts w:cs="Calibri"/>
                <w:sz w:val="20"/>
                <w:szCs w:val="20"/>
              </w:rPr>
              <w:t xml:space="preserve"> (w obszarach </w:t>
            </w:r>
            <w:r w:rsidR="00193A4A" w:rsidRPr="00BA3D7A">
              <w:rPr>
                <w:rFonts w:cs="Calibri"/>
                <w:sz w:val="20"/>
                <w:szCs w:val="20"/>
              </w:rPr>
              <w:t>usprawnienia codziennego funkcjonowania</w:t>
            </w:r>
            <w:r w:rsidR="009903C5" w:rsidRPr="00BA3D7A">
              <w:rPr>
                <w:rFonts w:cs="Calibri"/>
                <w:sz w:val="20"/>
                <w:szCs w:val="20"/>
              </w:rPr>
              <w:t>, w tym komunikacji</w:t>
            </w:r>
            <w:r w:rsidR="008850F1" w:rsidRPr="00BA3D7A">
              <w:rPr>
                <w:rFonts w:cs="Calibri"/>
                <w:sz w:val="20"/>
                <w:szCs w:val="20"/>
              </w:rPr>
              <w:t xml:space="preserve"> i poprawy mobilności</w:t>
            </w:r>
            <w:r w:rsidR="00193A4A" w:rsidRPr="00BA3D7A">
              <w:rPr>
                <w:rFonts w:cs="Calibri"/>
                <w:sz w:val="20"/>
                <w:szCs w:val="20"/>
              </w:rPr>
              <w:t>)</w:t>
            </w:r>
            <w:r w:rsidR="00A93AC7" w:rsidRPr="00BA3D7A">
              <w:rPr>
                <w:rFonts w:cs="Calibri"/>
                <w:sz w:val="20"/>
                <w:szCs w:val="20"/>
              </w:rPr>
              <w:t xml:space="preserve"> </w:t>
            </w:r>
            <w:r w:rsidR="00351179" w:rsidRPr="00BA3D7A">
              <w:rPr>
                <w:rFonts w:cs="Calibri"/>
                <w:sz w:val="20"/>
                <w:szCs w:val="20"/>
              </w:rPr>
              <w:t xml:space="preserve">– </w:t>
            </w:r>
            <w:r w:rsidR="00D6179C" w:rsidRPr="00BA3D7A">
              <w:rPr>
                <w:rFonts w:cs="Calibri"/>
                <w:sz w:val="20"/>
                <w:szCs w:val="20"/>
              </w:rPr>
              <w:t>prezentacja</w:t>
            </w:r>
            <w:r w:rsidR="002B19A1" w:rsidRPr="00BA3D7A">
              <w:rPr>
                <w:rFonts w:cs="Calibri"/>
                <w:sz w:val="20"/>
                <w:szCs w:val="20"/>
              </w:rPr>
              <w:t xml:space="preserve"> rozwiązań, urządzeń</w:t>
            </w:r>
            <w:r w:rsidR="00F33E37" w:rsidRPr="00BA3D7A">
              <w:rPr>
                <w:rFonts w:cs="Calibri"/>
                <w:sz w:val="20"/>
                <w:szCs w:val="20"/>
              </w:rPr>
              <w:t>.</w:t>
            </w:r>
          </w:p>
          <w:p w14:paraId="6C94963B" w14:textId="64A54CAD" w:rsidR="00351179" w:rsidRPr="00BA3D7A" w:rsidRDefault="00B30FA9">
            <w:pPr>
              <w:pStyle w:val="Akapitzlist"/>
              <w:numPr>
                <w:ilvl w:val="0"/>
                <w:numId w:val="24"/>
              </w:numPr>
              <w:jc w:val="both"/>
              <w:rPr>
                <w:rFonts w:cs="Calibri"/>
                <w:sz w:val="20"/>
                <w:szCs w:val="20"/>
              </w:rPr>
            </w:pPr>
            <w:r w:rsidRPr="00BA3D7A">
              <w:rPr>
                <w:rFonts w:cs="Calibri"/>
                <w:sz w:val="20"/>
                <w:szCs w:val="20"/>
              </w:rPr>
              <w:t>nowoczesne technologie informacyjno</w:t>
            </w:r>
            <w:r w:rsidR="00F04443" w:rsidRPr="00BA3D7A">
              <w:rPr>
                <w:rFonts w:cs="Calibri"/>
                <w:sz w:val="20"/>
                <w:szCs w:val="20"/>
              </w:rPr>
              <w:t xml:space="preserve"> </w:t>
            </w:r>
            <w:r w:rsidRPr="00BA3D7A">
              <w:rPr>
                <w:rFonts w:cs="Calibri"/>
                <w:sz w:val="20"/>
                <w:szCs w:val="20"/>
              </w:rPr>
              <w:t>–komunikacyjne</w:t>
            </w:r>
            <w:r w:rsidR="0027439F" w:rsidRPr="00BA3D7A">
              <w:rPr>
                <w:rFonts w:cs="Calibri"/>
                <w:sz w:val="20"/>
                <w:szCs w:val="20"/>
              </w:rPr>
              <w:t>,</w:t>
            </w:r>
            <w:r w:rsidRPr="00BA3D7A">
              <w:rPr>
                <w:rFonts w:cs="Calibri"/>
                <w:sz w:val="20"/>
                <w:szCs w:val="20"/>
              </w:rPr>
              <w:t xml:space="preserve"> o</w:t>
            </w:r>
            <w:r w:rsidR="004D742C" w:rsidRPr="00BA3D7A">
              <w:rPr>
                <w:rFonts w:cs="Calibri"/>
                <w:sz w:val="20"/>
                <w:szCs w:val="20"/>
              </w:rPr>
              <w:t>mówienie tematyki zdalnych usług opiekuńczych</w:t>
            </w:r>
            <w:r w:rsidRPr="00BA3D7A">
              <w:rPr>
                <w:rFonts w:cs="Calibri"/>
                <w:sz w:val="20"/>
                <w:szCs w:val="20"/>
              </w:rPr>
              <w:t xml:space="preserve">/teleopieka, </w:t>
            </w:r>
            <w:r w:rsidR="00F04443" w:rsidRPr="00BA3D7A">
              <w:rPr>
                <w:rFonts w:cs="Calibri"/>
                <w:sz w:val="20"/>
                <w:szCs w:val="20"/>
              </w:rPr>
              <w:t>systemy przywoławcze (</w:t>
            </w:r>
            <w:proofErr w:type="spellStart"/>
            <w:r w:rsidR="00F04443" w:rsidRPr="00BA3D7A">
              <w:rPr>
                <w:rFonts w:cs="Calibri"/>
                <w:sz w:val="20"/>
                <w:szCs w:val="20"/>
              </w:rPr>
              <w:t>przyzywowe</w:t>
            </w:r>
            <w:proofErr w:type="spellEnd"/>
            <w:r w:rsidR="00F04443" w:rsidRPr="00BA3D7A">
              <w:rPr>
                <w:rFonts w:cs="Calibri"/>
                <w:sz w:val="20"/>
                <w:szCs w:val="20"/>
              </w:rPr>
              <w:t>)</w:t>
            </w:r>
            <w:r w:rsidR="003E397B" w:rsidRPr="00BA3D7A">
              <w:rPr>
                <w:rFonts w:cs="Calibri"/>
                <w:sz w:val="20"/>
                <w:szCs w:val="20"/>
              </w:rPr>
              <w:t>.</w:t>
            </w:r>
          </w:p>
          <w:p w14:paraId="0520A279" w14:textId="71014CBF" w:rsidR="00F33E37" w:rsidRPr="00BA3D7A" w:rsidRDefault="00F33E37">
            <w:pPr>
              <w:pStyle w:val="Akapitzlist"/>
              <w:numPr>
                <w:ilvl w:val="0"/>
                <w:numId w:val="24"/>
              </w:numPr>
              <w:jc w:val="both"/>
              <w:rPr>
                <w:rFonts w:cs="Calibri"/>
                <w:sz w:val="20"/>
                <w:szCs w:val="20"/>
              </w:rPr>
            </w:pPr>
            <w:r w:rsidRPr="00BA3D7A">
              <w:rPr>
                <w:rFonts w:cs="Calibri"/>
                <w:sz w:val="20"/>
                <w:szCs w:val="20"/>
              </w:rPr>
              <w:t>systemy wsparcia usług opiekuńczych opartych na IT/cyfrowe systemy wsparcia</w:t>
            </w:r>
          </w:p>
          <w:p w14:paraId="722587C5" w14:textId="4FED63A6" w:rsidR="008850F1" w:rsidRPr="00BA3D7A" w:rsidRDefault="008850F1">
            <w:pPr>
              <w:pStyle w:val="Akapitzlist"/>
              <w:numPr>
                <w:ilvl w:val="0"/>
                <w:numId w:val="24"/>
              </w:numPr>
              <w:jc w:val="both"/>
              <w:rPr>
                <w:rFonts w:cs="Calibri"/>
                <w:sz w:val="20"/>
                <w:szCs w:val="20"/>
              </w:rPr>
            </w:pPr>
            <w:r w:rsidRPr="00BA3D7A">
              <w:rPr>
                <w:rFonts w:cs="Calibri"/>
                <w:sz w:val="20"/>
                <w:szCs w:val="20"/>
              </w:rPr>
              <w:t>nowoczesne technologie a poprawa efektywności w zarządzaniu usługami opiekuńczymi</w:t>
            </w:r>
            <w:r w:rsidR="00AA160A" w:rsidRPr="00BA3D7A">
              <w:rPr>
                <w:rFonts w:cs="Calibri"/>
                <w:sz w:val="20"/>
                <w:szCs w:val="20"/>
              </w:rPr>
              <w:t xml:space="preserve"> </w:t>
            </w:r>
          </w:p>
          <w:p w14:paraId="4A44373A" w14:textId="04CDE557" w:rsidR="00F33E37" w:rsidRPr="00BA3D7A" w:rsidRDefault="00F33E37" w:rsidP="00F33E37">
            <w:pPr>
              <w:pStyle w:val="Akapitzlist"/>
              <w:numPr>
                <w:ilvl w:val="0"/>
                <w:numId w:val="24"/>
              </w:numPr>
              <w:jc w:val="both"/>
              <w:rPr>
                <w:rFonts w:cs="Calibri"/>
                <w:sz w:val="20"/>
                <w:szCs w:val="20"/>
              </w:rPr>
            </w:pPr>
            <w:r w:rsidRPr="00BA3D7A">
              <w:rPr>
                <w:rFonts w:cs="Calibri"/>
                <w:sz w:val="20"/>
                <w:szCs w:val="20"/>
              </w:rPr>
              <w:t>Prezentacja dobrych praktyk i przykładów (rozwiązania wdrożone</w:t>
            </w:r>
            <w:r w:rsidR="00AA160A" w:rsidRPr="00BA3D7A">
              <w:rPr>
                <w:rFonts w:cs="Calibri"/>
                <w:sz w:val="20"/>
                <w:szCs w:val="20"/>
              </w:rPr>
              <w:t xml:space="preserve"> i aktualnie funkcjonujące</w:t>
            </w:r>
            <w:r w:rsidRPr="00BA3D7A">
              <w:rPr>
                <w:rFonts w:cs="Calibri"/>
                <w:sz w:val="20"/>
                <w:szCs w:val="20"/>
              </w:rPr>
              <w:t xml:space="preserve"> w Polsce)</w:t>
            </w:r>
            <w:r w:rsidR="00AA160A" w:rsidRPr="00BA3D7A">
              <w:rPr>
                <w:rFonts w:cs="Calibri"/>
                <w:sz w:val="20"/>
                <w:szCs w:val="20"/>
              </w:rPr>
              <w:t xml:space="preserve"> w tematyce spotkania. Przykłady/dobre praktyki</w:t>
            </w:r>
            <w:r w:rsidRPr="00BA3D7A">
              <w:rPr>
                <w:rFonts w:cs="Calibri"/>
                <w:sz w:val="20"/>
                <w:szCs w:val="20"/>
              </w:rPr>
              <w:t xml:space="preserve"> w miarę możliwości włączające podmioty ekonomii społecznej jako realizatorów  usługi</w:t>
            </w:r>
          </w:p>
          <w:p w14:paraId="066ACABB" w14:textId="788E911C" w:rsidR="00F33E37" w:rsidRPr="00BA3D7A" w:rsidRDefault="00F33E37" w:rsidP="00B062ED">
            <w:pPr>
              <w:pStyle w:val="Akapitzlist"/>
              <w:numPr>
                <w:ilvl w:val="0"/>
                <w:numId w:val="24"/>
              </w:numPr>
              <w:jc w:val="both"/>
              <w:rPr>
                <w:rFonts w:cs="Calibri"/>
                <w:sz w:val="20"/>
                <w:szCs w:val="20"/>
              </w:rPr>
            </w:pPr>
            <w:r w:rsidRPr="00BA3D7A">
              <w:rPr>
                <w:rFonts w:cs="Calibri"/>
                <w:sz w:val="20"/>
                <w:szCs w:val="20"/>
              </w:rPr>
              <w:t>Podsumowanie spotkania, wymiana informacji, pytania i odpowiedzi ze strony uczestników spotkania</w:t>
            </w:r>
          </w:p>
          <w:p w14:paraId="34FAA312" w14:textId="4A2492F4" w:rsidR="009D2098" w:rsidRPr="00BA3D7A" w:rsidRDefault="009D2098" w:rsidP="009D2098">
            <w:pPr>
              <w:jc w:val="both"/>
              <w:rPr>
                <w:rFonts w:cs="Calibri"/>
                <w:b/>
                <w:bCs/>
                <w:sz w:val="20"/>
              </w:rPr>
            </w:pPr>
            <w:r w:rsidRPr="00BA3D7A">
              <w:rPr>
                <w:rFonts w:cs="Calibri"/>
                <w:sz w:val="20"/>
              </w:rPr>
              <w:t>(Wszystkie spotkania dotyczyć będą tej samej tematyki i odbędą się w oparciu o jeden program spotkania, przy czym szczegółowy program spotkania proponuje Wykonawca uwzględniając niżej opisany ramowy program, a zatwierdza Zamawiający)</w:t>
            </w:r>
            <w:r w:rsidRPr="00BA3D7A">
              <w:rPr>
                <w:rFonts w:cs="Calibri"/>
                <w:b/>
                <w:bCs/>
                <w:sz w:val="20"/>
              </w:rPr>
              <w:t>.</w:t>
            </w:r>
          </w:p>
          <w:p w14:paraId="4E19B642" w14:textId="77777777" w:rsidR="00F308C9" w:rsidRPr="00BA3D7A" w:rsidRDefault="00F308C9" w:rsidP="00F308C9">
            <w:pPr>
              <w:jc w:val="both"/>
              <w:rPr>
                <w:rFonts w:cs="Calibri"/>
                <w:sz w:val="20"/>
              </w:rPr>
            </w:pPr>
          </w:p>
          <w:p w14:paraId="306F8392" w14:textId="77777777" w:rsidR="000F32F6" w:rsidRPr="00BA3D7A" w:rsidRDefault="000F32F6">
            <w:pPr>
              <w:jc w:val="both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>Realizacja usługi eksperckiej ma polegać w szczególności na:</w:t>
            </w:r>
          </w:p>
          <w:p w14:paraId="41174537" w14:textId="77777777" w:rsidR="000F32F6" w:rsidRPr="00BA3D7A" w:rsidRDefault="000F32F6" w:rsidP="00952F70">
            <w:pPr>
              <w:widowControl/>
              <w:numPr>
                <w:ilvl w:val="0"/>
                <w:numId w:val="1"/>
              </w:numPr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 xml:space="preserve">opracowaniu szczegółowego programu spotkania zgodnie z powyższymi założeniami oraz bieżącym kontakcie Wykonawcy z Zamawiającym w zakresie programu spotkania i ostatecznej akceptacji programu przez Zamawiającego; </w:t>
            </w:r>
          </w:p>
          <w:p w14:paraId="34C72C44" w14:textId="77777777" w:rsidR="000F32F6" w:rsidRPr="00BA3D7A" w:rsidRDefault="000F32F6" w:rsidP="00952F70">
            <w:pPr>
              <w:widowControl/>
              <w:numPr>
                <w:ilvl w:val="0"/>
                <w:numId w:val="1"/>
              </w:numPr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 xml:space="preserve">realizacji spotkania poprzez zapewnienie eksperta prowadzącego spotkanie. Zamawiający wymaga aby spotkanie było prowadzone przez jedną osobę/eksperta. </w:t>
            </w:r>
          </w:p>
          <w:p w14:paraId="57FA0C03" w14:textId="77777777" w:rsidR="000F32F6" w:rsidRPr="00BA3D7A" w:rsidRDefault="000F32F6" w:rsidP="00952F70">
            <w:pPr>
              <w:widowControl/>
              <w:numPr>
                <w:ilvl w:val="0"/>
                <w:numId w:val="1"/>
              </w:numPr>
              <w:spacing w:after="240"/>
              <w:jc w:val="both"/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>przygotowaniu materiałów edukacyjnych dla uczestników spotkania.</w:t>
            </w:r>
          </w:p>
        </w:tc>
      </w:tr>
      <w:tr w:rsidR="000F32F6" w:rsidRPr="00BA3D7A" w14:paraId="0ED2FD1E" w14:textId="77777777" w:rsidTr="00221245">
        <w:trPr>
          <w:trHeight w:val="72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8108" w14:textId="77777777" w:rsidR="000F32F6" w:rsidRPr="00BA3D7A" w:rsidRDefault="000F32F6">
            <w:pPr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lastRenderedPageBreak/>
              <w:t>Liczba spotkań oraz osób biorących udział w spotkaniu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FD31E" w14:textId="0C53D35D" w:rsidR="000F32F6" w:rsidRPr="00BA3D7A" w:rsidRDefault="000F7195">
            <w:pPr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t>3</w:t>
            </w:r>
            <w:r w:rsidR="000F32F6" w:rsidRPr="00BA3D7A">
              <w:rPr>
                <w:rFonts w:cs="Calibri"/>
                <w:iCs/>
                <w:sz w:val="20"/>
              </w:rPr>
              <w:t xml:space="preserve"> spotkani</w:t>
            </w:r>
            <w:r w:rsidR="00CF6EC8" w:rsidRPr="00BA3D7A">
              <w:rPr>
                <w:rFonts w:cs="Calibri"/>
                <w:iCs/>
                <w:sz w:val="20"/>
              </w:rPr>
              <w:t>a</w:t>
            </w:r>
            <w:r w:rsidR="000F32F6" w:rsidRPr="00BA3D7A">
              <w:rPr>
                <w:rFonts w:cs="Calibri"/>
                <w:iCs/>
                <w:sz w:val="20"/>
              </w:rPr>
              <w:t xml:space="preserve"> we Wrocławiu, liczba osób biorących udział w spotkaniu min. 1</w:t>
            </w:r>
            <w:r w:rsidR="00816EC4" w:rsidRPr="00BA3D7A">
              <w:rPr>
                <w:rFonts w:cs="Calibri"/>
                <w:iCs/>
                <w:sz w:val="20"/>
              </w:rPr>
              <w:t>8</w:t>
            </w:r>
            <w:r w:rsidR="000F32F6" w:rsidRPr="00BA3D7A">
              <w:rPr>
                <w:rFonts w:cs="Calibri"/>
                <w:iCs/>
                <w:sz w:val="20"/>
              </w:rPr>
              <w:t xml:space="preserve"> i max. 30 osób.</w:t>
            </w:r>
          </w:p>
        </w:tc>
      </w:tr>
      <w:tr w:rsidR="000F32F6" w:rsidRPr="00BA3D7A" w14:paraId="296FEB32" w14:textId="77777777" w:rsidTr="00221245">
        <w:trPr>
          <w:trHeight w:val="47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52BDC" w14:textId="77777777" w:rsidR="000F32F6" w:rsidRPr="00BA3D7A" w:rsidRDefault="000F32F6">
            <w:pPr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t xml:space="preserve">Ogólny czas </w:t>
            </w:r>
            <w:r w:rsidRPr="00BA3D7A">
              <w:rPr>
                <w:rFonts w:cs="Calibri"/>
                <w:iCs/>
                <w:sz w:val="20"/>
              </w:rPr>
              <w:lastRenderedPageBreak/>
              <w:t>trwania spotkania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6719" w14:textId="77777777" w:rsidR="000F32F6" w:rsidRPr="00BA3D7A" w:rsidRDefault="000F32F6" w:rsidP="0037592F">
            <w:pPr>
              <w:spacing w:after="240"/>
              <w:ind w:left="38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lastRenderedPageBreak/>
              <w:t xml:space="preserve">Zamawiający zakłada, że spotkanie odbędzie się w godzinach 9:00 - 14:30 (+/-30 min.), z czego </w:t>
            </w:r>
            <w:r w:rsidRPr="00BA3D7A">
              <w:rPr>
                <w:rFonts w:cs="Calibri"/>
                <w:bCs/>
                <w:iCs/>
                <w:sz w:val="20"/>
              </w:rPr>
              <w:lastRenderedPageBreak/>
              <w:t xml:space="preserve">czas prowadzenia spotkania przez Eksperta wyniesie </w:t>
            </w:r>
            <w:r w:rsidRPr="00BA3D7A">
              <w:rPr>
                <w:rFonts w:cs="Calibri"/>
                <w:b/>
                <w:iCs/>
                <w:sz w:val="20"/>
              </w:rPr>
              <w:t>4 godziny zegarowe</w:t>
            </w:r>
            <w:r w:rsidRPr="00BA3D7A">
              <w:rPr>
                <w:rFonts w:cs="Calibri"/>
                <w:bCs/>
                <w:iCs/>
                <w:sz w:val="20"/>
              </w:rPr>
              <w:t>.</w:t>
            </w:r>
          </w:p>
        </w:tc>
      </w:tr>
      <w:tr w:rsidR="000F32F6" w:rsidRPr="00BA3D7A" w14:paraId="33924C4C" w14:textId="77777777" w:rsidTr="00221245">
        <w:trPr>
          <w:trHeight w:val="40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B115" w14:textId="77777777" w:rsidR="000F32F6" w:rsidRPr="00BA3D7A" w:rsidRDefault="000F32F6">
            <w:pPr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lastRenderedPageBreak/>
              <w:t xml:space="preserve">Liczba dni świadczonej usługi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C5D40" w14:textId="77777777" w:rsidR="000F32F6" w:rsidRPr="00BA3D7A" w:rsidRDefault="000F32F6">
            <w:pPr>
              <w:tabs>
                <w:tab w:val="left" w:pos="5085"/>
              </w:tabs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t>1 dzień roboczy</w:t>
            </w:r>
          </w:p>
        </w:tc>
      </w:tr>
      <w:tr w:rsidR="000F32F6" w:rsidRPr="00BA3D7A" w14:paraId="085C4B1B" w14:textId="77777777" w:rsidTr="00221245">
        <w:trPr>
          <w:trHeight w:val="5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5D6C1" w14:textId="77777777" w:rsidR="000F32F6" w:rsidRPr="00BA3D7A" w:rsidRDefault="000F32F6">
            <w:pPr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t xml:space="preserve">Termin realizacji usługi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C671B" w14:textId="0E04FE71" w:rsidR="000F32F6" w:rsidRPr="00BA3D7A" w:rsidRDefault="000F32F6">
            <w:pPr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>Od dnia podpisania umowy do 3</w:t>
            </w:r>
            <w:r w:rsidR="00F308C9" w:rsidRPr="00BA3D7A">
              <w:rPr>
                <w:rFonts w:cs="Calibri"/>
                <w:bCs/>
                <w:iCs/>
                <w:sz w:val="20"/>
              </w:rPr>
              <w:t>0</w:t>
            </w:r>
            <w:r w:rsidRPr="00BA3D7A">
              <w:rPr>
                <w:rFonts w:cs="Calibri"/>
                <w:bCs/>
                <w:iCs/>
                <w:sz w:val="20"/>
              </w:rPr>
              <w:t>.</w:t>
            </w:r>
            <w:r w:rsidR="00F308C9" w:rsidRPr="00BA3D7A">
              <w:rPr>
                <w:rFonts w:cs="Calibri"/>
                <w:bCs/>
                <w:iCs/>
                <w:sz w:val="20"/>
              </w:rPr>
              <w:t>06</w:t>
            </w:r>
            <w:r w:rsidRPr="00BA3D7A">
              <w:rPr>
                <w:rFonts w:cs="Calibri"/>
                <w:bCs/>
                <w:iCs/>
                <w:sz w:val="20"/>
              </w:rPr>
              <w:t>.2025 r. w uzgodniony</w:t>
            </w:r>
            <w:r w:rsidR="00690F3D" w:rsidRPr="00BA3D7A">
              <w:rPr>
                <w:rFonts w:cs="Calibri"/>
                <w:bCs/>
                <w:iCs/>
                <w:sz w:val="20"/>
              </w:rPr>
              <w:t>ch</w:t>
            </w:r>
            <w:r w:rsidRPr="00BA3D7A">
              <w:rPr>
                <w:rFonts w:cs="Calibri"/>
                <w:bCs/>
                <w:iCs/>
                <w:sz w:val="20"/>
              </w:rPr>
              <w:t xml:space="preserve"> z Zamawiającym termi</w:t>
            </w:r>
            <w:r w:rsidR="00690F3D" w:rsidRPr="00BA3D7A">
              <w:rPr>
                <w:rFonts w:cs="Calibri"/>
                <w:bCs/>
                <w:iCs/>
                <w:sz w:val="20"/>
              </w:rPr>
              <w:t>nach</w:t>
            </w:r>
            <w:r w:rsidRPr="00BA3D7A">
              <w:rPr>
                <w:rFonts w:cs="Calibri"/>
                <w:bCs/>
                <w:iCs/>
                <w:sz w:val="20"/>
              </w:rPr>
              <w:t>.</w:t>
            </w:r>
          </w:p>
        </w:tc>
      </w:tr>
      <w:tr w:rsidR="000F32F6" w:rsidRPr="00BA3D7A" w14:paraId="6BBF4FD6" w14:textId="77777777" w:rsidTr="00221245">
        <w:trPr>
          <w:trHeight w:val="45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0B8C" w14:textId="77777777" w:rsidR="000F32F6" w:rsidRPr="00BA3D7A" w:rsidRDefault="000F32F6">
            <w:pPr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t>Miejsce realizacji usługi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9D14E" w14:textId="0A1E315A" w:rsidR="000F32F6" w:rsidRPr="00BA3D7A" w:rsidRDefault="000F32F6" w:rsidP="0037592F">
            <w:pPr>
              <w:spacing w:after="240"/>
              <w:rPr>
                <w:rFonts w:cs="Calibri"/>
                <w:bCs/>
                <w:iCs/>
                <w:color w:val="FF0000"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>Spotkani</w:t>
            </w:r>
            <w:r w:rsidR="00F308C9" w:rsidRPr="00BA3D7A">
              <w:rPr>
                <w:rFonts w:cs="Calibri"/>
                <w:bCs/>
                <w:iCs/>
                <w:sz w:val="20"/>
              </w:rPr>
              <w:t>a</w:t>
            </w:r>
            <w:r w:rsidRPr="00BA3D7A">
              <w:rPr>
                <w:rFonts w:cs="Calibri"/>
                <w:bCs/>
                <w:iCs/>
                <w:sz w:val="20"/>
              </w:rPr>
              <w:t xml:space="preserve"> realizowane będzie w trybie stacjonarnym, na terenie miasta Wrocławia (szczegółowy adres miejsca realizacji zamówienia zostanie podany niezwłocznie po jego ustaleniu przez Zamawiającego).</w:t>
            </w:r>
            <w:r w:rsidRPr="00BA3D7A">
              <w:rPr>
                <w:rFonts w:cs="Calibri"/>
                <w:bCs/>
                <w:iCs/>
                <w:color w:val="FF0000"/>
                <w:sz w:val="20"/>
              </w:rPr>
              <w:br/>
            </w:r>
            <w:r w:rsidRPr="00BA3D7A">
              <w:rPr>
                <w:rFonts w:cs="Calibri"/>
                <w:bCs/>
                <w:iCs/>
                <w:sz w:val="20"/>
              </w:rPr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0F32F6" w:rsidRPr="00BA3D7A" w14:paraId="24392C06" w14:textId="77777777" w:rsidTr="00221245">
        <w:trPr>
          <w:trHeight w:val="5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6AEEB" w14:textId="77777777" w:rsidR="000F32F6" w:rsidRPr="00BA3D7A" w:rsidRDefault="000F32F6">
            <w:pPr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t>Ramowy program wraz z proponowanym podziałem godzinowym spotkania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2FAE" w14:textId="77777777" w:rsidR="000F32F6" w:rsidRPr="00BA3D7A" w:rsidRDefault="000F32F6">
            <w:pPr>
              <w:tabs>
                <w:tab w:val="left" w:pos="588"/>
              </w:tabs>
              <w:suppressAutoHyphens w:val="0"/>
              <w:spacing w:line="276" w:lineRule="auto"/>
              <w:rPr>
                <w:b/>
                <w:bCs/>
                <w:iCs/>
                <w:sz w:val="20"/>
              </w:rPr>
            </w:pPr>
            <w:r w:rsidRPr="00BA3D7A">
              <w:rPr>
                <w:b/>
                <w:bCs/>
                <w:iCs/>
                <w:sz w:val="20"/>
              </w:rPr>
              <w:t>Część I</w:t>
            </w:r>
          </w:p>
          <w:p w14:paraId="189F1CE6" w14:textId="77777777" w:rsidR="000F32F6" w:rsidRPr="00BA3D7A" w:rsidRDefault="000F32F6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bCs/>
                <w:iCs/>
                <w:sz w:val="20"/>
                <w:lang w:bidi="pl-PL"/>
              </w:rPr>
            </w:pPr>
            <w:r w:rsidRPr="00BA3D7A">
              <w:rPr>
                <w:rFonts w:eastAsia="Times New Roman" w:cs="Calibri"/>
                <w:iCs/>
                <w:kern w:val="0"/>
                <w:sz w:val="20"/>
                <w:lang w:bidi="pl-PL"/>
              </w:rPr>
              <w:t xml:space="preserve">10:00-10:15 </w:t>
            </w:r>
            <w:r w:rsidRPr="00BA3D7A">
              <w:rPr>
                <w:rFonts w:eastAsia="Times New Roman" w:cs="Calibri"/>
                <w:bCs/>
                <w:iCs/>
                <w:sz w:val="20"/>
                <w:lang w:bidi="pl-PL"/>
              </w:rPr>
              <w:t>– wprowadzenie: pracownik DOPS</w:t>
            </w:r>
          </w:p>
          <w:p w14:paraId="2B24729B" w14:textId="77777777" w:rsidR="000F32F6" w:rsidRPr="00BA3D7A" w:rsidRDefault="000F32F6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bCs/>
                <w:iCs/>
                <w:sz w:val="20"/>
                <w:lang w:bidi="pl-PL"/>
              </w:rPr>
            </w:pPr>
            <w:r w:rsidRPr="00BA3D7A">
              <w:rPr>
                <w:rFonts w:eastAsia="Times New Roman" w:cs="Calibri"/>
                <w:iCs/>
                <w:kern w:val="0"/>
                <w:sz w:val="20"/>
                <w:lang w:bidi="pl-PL"/>
              </w:rPr>
              <w:t>10:15-12:15 – część merytoryczna I, p</w:t>
            </w:r>
            <w:r w:rsidRPr="00BA3D7A">
              <w:rPr>
                <w:rFonts w:eastAsia="Times New Roman" w:cs="Calibri"/>
                <w:bCs/>
                <w:iCs/>
                <w:sz w:val="20"/>
                <w:lang w:bidi="pl-PL"/>
              </w:rPr>
              <w:t>rowadzenie: Ekspert</w:t>
            </w:r>
          </w:p>
          <w:p w14:paraId="304D6FFD" w14:textId="77777777" w:rsidR="000F32F6" w:rsidRPr="00BA3D7A" w:rsidRDefault="000F32F6">
            <w:pPr>
              <w:tabs>
                <w:tab w:val="left" w:pos="456"/>
              </w:tabs>
              <w:rPr>
                <w:rFonts w:eastAsia="Times New Roman" w:cs="Calibri"/>
                <w:b/>
                <w:iCs/>
                <w:sz w:val="20"/>
                <w:lang w:bidi="pl-PL"/>
              </w:rPr>
            </w:pPr>
            <w:r w:rsidRPr="00BA3D7A">
              <w:rPr>
                <w:rFonts w:eastAsia="Times New Roman" w:cs="Calibri"/>
                <w:iCs/>
                <w:kern w:val="0"/>
                <w:sz w:val="20"/>
                <w:lang w:bidi="pl-PL"/>
              </w:rPr>
              <w:t>12:15-12:30 - p</w:t>
            </w:r>
            <w:r w:rsidRPr="00BA3D7A">
              <w:rPr>
                <w:rFonts w:eastAsia="Times New Roman" w:cs="Calibri"/>
                <w:iCs/>
                <w:sz w:val="20"/>
                <w:lang w:bidi="pl-PL"/>
              </w:rPr>
              <w:t>rzerwa na</w:t>
            </w:r>
            <w:r w:rsidRPr="00BA3D7A">
              <w:rPr>
                <w:rFonts w:eastAsia="Times New Roman" w:cs="Calibri"/>
                <w:bCs/>
                <w:iCs/>
                <w:sz w:val="20"/>
                <w:lang w:bidi="pl-PL"/>
              </w:rPr>
              <w:t xml:space="preserve"> poczęstunek</w:t>
            </w:r>
          </w:p>
          <w:p w14:paraId="25CE01EC" w14:textId="77777777" w:rsidR="000F32F6" w:rsidRPr="00BA3D7A" w:rsidRDefault="000F32F6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iCs/>
                <w:kern w:val="0"/>
                <w:sz w:val="20"/>
                <w:lang w:bidi="pl-PL"/>
              </w:rPr>
            </w:pPr>
            <w:r w:rsidRPr="00BA3D7A">
              <w:rPr>
                <w:b/>
                <w:bCs/>
                <w:iCs/>
                <w:sz w:val="20"/>
              </w:rPr>
              <w:t>Część II</w:t>
            </w:r>
          </w:p>
          <w:p w14:paraId="6B2C795F" w14:textId="77777777" w:rsidR="000F32F6" w:rsidRPr="00BA3D7A" w:rsidRDefault="000F32F6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iCs/>
                <w:kern w:val="0"/>
                <w:sz w:val="20"/>
                <w:lang w:bidi="pl-PL"/>
              </w:rPr>
            </w:pPr>
            <w:r w:rsidRPr="00BA3D7A">
              <w:rPr>
                <w:rFonts w:eastAsia="Times New Roman" w:cs="Calibri"/>
                <w:iCs/>
                <w:kern w:val="0"/>
                <w:sz w:val="20"/>
                <w:lang w:bidi="pl-PL"/>
              </w:rPr>
              <w:t>12:30-14:30</w:t>
            </w:r>
            <w:r w:rsidRPr="00BA3D7A">
              <w:rPr>
                <w:rFonts w:eastAsia="Times New Roman" w:cs="Calibri"/>
                <w:bCs/>
                <w:iCs/>
                <w:sz w:val="20"/>
                <w:lang w:bidi="pl-PL"/>
              </w:rPr>
              <w:t xml:space="preserve"> – </w:t>
            </w:r>
            <w:r w:rsidRPr="00BA3D7A">
              <w:rPr>
                <w:rFonts w:eastAsia="Times New Roman" w:cs="Calibri"/>
                <w:iCs/>
                <w:kern w:val="0"/>
                <w:sz w:val="20"/>
                <w:lang w:bidi="pl-PL"/>
              </w:rPr>
              <w:t>część merytoryczna II</w:t>
            </w:r>
            <w:r w:rsidRPr="00BA3D7A">
              <w:rPr>
                <w:rFonts w:eastAsia="Times New Roman" w:cs="Calibri"/>
                <w:bCs/>
                <w:iCs/>
                <w:sz w:val="20"/>
                <w:lang w:bidi="pl-PL"/>
              </w:rPr>
              <w:t>, prowadzenie: Ekspert</w:t>
            </w:r>
          </w:p>
        </w:tc>
      </w:tr>
      <w:tr w:rsidR="000F32F6" w:rsidRPr="00BA3D7A" w14:paraId="3B95C6A8" w14:textId="77777777" w:rsidTr="00221245">
        <w:trPr>
          <w:trHeight w:val="5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A950E" w14:textId="77777777" w:rsidR="000F32F6" w:rsidRPr="00BA3D7A" w:rsidRDefault="000F32F6">
            <w:pPr>
              <w:rPr>
                <w:rFonts w:cs="Calibri"/>
                <w:iCs/>
                <w:sz w:val="20"/>
                <w:lang w:eastAsia="en-US"/>
              </w:rPr>
            </w:pPr>
            <w:r w:rsidRPr="00BA3D7A">
              <w:rPr>
                <w:rFonts w:cs="Calibri"/>
                <w:iCs/>
                <w:sz w:val="20"/>
              </w:rPr>
              <w:t>Metody pracy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20BC" w14:textId="77777777" w:rsidR="000F32F6" w:rsidRPr="00BA3D7A" w:rsidRDefault="000F32F6" w:rsidP="0037592F">
            <w:pPr>
              <w:spacing w:after="240"/>
              <w:rPr>
                <w:rFonts w:eastAsia="Times New Roman" w:cs="Calibri"/>
                <w:iCs/>
                <w:sz w:val="20"/>
              </w:rPr>
            </w:pPr>
            <w:r w:rsidRPr="00BA3D7A">
              <w:rPr>
                <w:iCs/>
                <w:sz w:val="20"/>
              </w:rPr>
              <w:t xml:space="preserve">Wykład z zastosowaniem prezentacji multimedialnej, dyskusja, formuła pytań i odpowiedzi </w:t>
            </w:r>
            <w:r w:rsidRPr="00BA3D7A">
              <w:rPr>
                <w:rFonts w:cs="Calibri"/>
                <w:bCs/>
                <w:iCs/>
                <w:sz w:val="20"/>
              </w:rPr>
              <w:t>uczestników.</w:t>
            </w:r>
          </w:p>
        </w:tc>
      </w:tr>
      <w:tr w:rsidR="000F32F6" w:rsidRPr="00BA3D7A" w14:paraId="7FB0BC2C" w14:textId="77777777" w:rsidTr="00221245">
        <w:trPr>
          <w:trHeight w:val="5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E655" w14:textId="77777777" w:rsidR="000F32F6" w:rsidRPr="00BA3D7A" w:rsidRDefault="000F32F6">
            <w:pPr>
              <w:rPr>
                <w:rFonts w:cs="Calibri"/>
                <w:iCs/>
                <w:sz w:val="20"/>
                <w:lang w:eastAsia="en-US"/>
              </w:rPr>
            </w:pPr>
            <w:r w:rsidRPr="00BA3D7A">
              <w:rPr>
                <w:rFonts w:cs="Calibri"/>
                <w:iCs/>
                <w:sz w:val="20"/>
              </w:rPr>
              <w:t>Warunki dotyczące eksperta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39C6" w14:textId="77777777" w:rsidR="000F32F6" w:rsidRPr="00BA3D7A" w:rsidRDefault="000F32F6">
            <w:pPr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t>Ekspert wskazany do prowadzenia spotkania objęty jest niezbędnymi niżej opisanymi warunkami wykształcenia i doświadczenia zawodowego:</w:t>
            </w:r>
          </w:p>
          <w:p w14:paraId="0264342E" w14:textId="131B98AC" w:rsidR="000F32F6" w:rsidRPr="00BA3D7A" w:rsidRDefault="000F32F6" w:rsidP="00952F70">
            <w:pPr>
              <w:widowControl/>
              <w:numPr>
                <w:ilvl w:val="0"/>
                <w:numId w:val="5"/>
              </w:numPr>
              <w:textAlignment w:val="auto"/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t>Ukończone studia wyższe</w:t>
            </w:r>
            <w:r w:rsidR="003D3FC8" w:rsidRPr="00BA3D7A">
              <w:rPr>
                <w:rFonts w:cs="Calibri"/>
                <w:iCs/>
                <w:sz w:val="20"/>
              </w:rPr>
              <w:t>, uzyskane wykształcenie wyższe</w:t>
            </w:r>
            <w:r w:rsidRPr="00BA3D7A">
              <w:rPr>
                <w:rFonts w:cs="Calibri"/>
                <w:iCs/>
                <w:sz w:val="20"/>
              </w:rPr>
              <w:br/>
            </w:r>
            <w:r w:rsidRPr="00BA3D7A">
              <w:rPr>
                <w:rFonts w:cs="Calibri"/>
                <w:b/>
                <w:bCs/>
                <w:iCs/>
                <w:sz w:val="20"/>
              </w:rPr>
              <w:t>ORAZ</w:t>
            </w:r>
          </w:p>
          <w:p w14:paraId="5932749E" w14:textId="6720CD86" w:rsidR="000F32F6" w:rsidRPr="00BA3D7A" w:rsidRDefault="000F32F6" w:rsidP="00952F70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160" w:line="252" w:lineRule="auto"/>
              <w:contextualSpacing w:val="0"/>
              <w:rPr>
                <w:rFonts w:cs="Calibri"/>
                <w:iCs/>
                <w:sz w:val="20"/>
                <w:szCs w:val="20"/>
              </w:rPr>
            </w:pPr>
            <w:r w:rsidRPr="00BA3D7A">
              <w:rPr>
                <w:rFonts w:cs="Calibri"/>
                <w:iCs/>
                <w:sz w:val="20"/>
                <w:szCs w:val="20"/>
              </w:rPr>
              <w:t xml:space="preserve">Doświadczenie eksperta wyznaczonego do realizacji zamówienia, w prowadzeniu szkoleń / zajęć / spotkań / konferencji </w:t>
            </w:r>
            <w:r w:rsidR="00690F3D" w:rsidRPr="00BA3D7A">
              <w:rPr>
                <w:rFonts w:cs="Calibri"/>
                <w:iCs/>
                <w:sz w:val="20"/>
                <w:szCs w:val="20"/>
              </w:rPr>
              <w:t>w obszarze objętym tematyką spotkania</w:t>
            </w:r>
            <w:r w:rsidR="003D3FC8" w:rsidRPr="00BA3D7A">
              <w:rPr>
                <w:rFonts w:cs="Calibri"/>
                <w:iCs/>
                <w:sz w:val="20"/>
                <w:szCs w:val="20"/>
              </w:rPr>
              <w:t xml:space="preserve"> </w:t>
            </w:r>
            <w:r w:rsidR="003E397B" w:rsidRPr="00BA3D7A">
              <w:rPr>
                <w:rFonts w:cs="Calibri"/>
                <w:iCs/>
                <w:sz w:val="20"/>
                <w:szCs w:val="20"/>
              </w:rPr>
              <w:t xml:space="preserve">(tj. obszarem usług społecznych adresowanych dla osób starszych i/lub z niepełnosprawnościami realizowanych z użyciem nowych rozwiązań technologii) </w:t>
            </w:r>
            <w:r w:rsidR="003D3FC8" w:rsidRPr="00BA3D7A">
              <w:rPr>
                <w:rFonts w:cs="Calibri"/>
                <w:iCs/>
                <w:sz w:val="20"/>
                <w:szCs w:val="20"/>
              </w:rPr>
              <w:t>w wymiarze minimum 8h dydaktycznych</w:t>
            </w:r>
            <w:r w:rsidRPr="00BA3D7A">
              <w:rPr>
                <w:rFonts w:cs="Calibri"/>
                <w:iCs/>
                <w:sz w:val="20"/>
                <w:szCs w:val="20"/>
              </w:rPr>
              <w:t xml:space="preserve">, </w:t>
            </w:r>
            <w:r w:rsidR="003D3FC8" w:rsidRPr="00BA3D7A">
              <w:rPr>
                <w:rFonts w:cs="Calibri"/>
                <w:iCs/>
                <w:sz w:val="20"/>
                <w:szCs w:val="20"/>
              </w:rPr>
              <w:t>w ciągu ostatnich 3 lat liczonych przed upływem terminu składania ofert, a jeżeli okres prowadzenia działalności jest krótszy to w tym okresie.</w:t>
            </w:r>
          </w:p>
        </w:tc>
      </w:tr>
      <w:tr w:rsidR="000F32F6" w:rsidRPr="00BA3D7A" w14:paraId="255B3F46" w14:textId="77777777" w:rsidTr="00221245">
        <w:trPr>
          <w:trHeight w:val="5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CE9C" w14:textId="77777777" w:rsidR="000F32F6" w:rsidRPr="00BA3D7A" w:rsidRDefault="000F32F6">
            <w:pPr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t>Wymagania wobec Wykonawcy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5FC6E" w14:textId="77777777" w:rsidR="000F32F6" w:rsidRPr="00BA3D7A" w:rsidRDefault="000F32F6">
            <w:pPr>
              <w:rPr>
                <w:rFonts w:cs="Calibri"/>
                <w:b/>
                <w:bCs/>
                <w:iCs/>
                <w:sz w:val="20"/>
              </w:rPr>
            </w:pPr>
            <w:r w:rsidRPr="00BA3D7A">
              <w:rPr>
                <w:rFonts w:cs="Calibri"/>
                <w:b/>
                <w:bCs/>
                <w:iCs/>
                <w:sz w:val="20"/>
              </w:rPr>
              <w:t xml:space="preserve">Wykonawca zobowiązany jest do: </w:t>
            </w:r>
          </w:p>
          <w:p w14:paraId="0181E5ED" w14:textId="77777777" w:rsidR="000F32F6" w:rsidRPr="00BA3D7A" w:rsidRDefault="000F32F6" w:rsidP="00952F70">
            <w:pPr>
              <w:widowControl/>
              <w:numPr>
                <w:ilvl w:val="0"/>
                <w:numId w:val="6"/>
              </w:numPr>
              <w:spacing w:after="160" w:line="252" w:lineRule="auto"/>
              <w:textAlignment w:val="auto"/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t>Zapewnienia eksperta, spełniającego kryteria , o których mowa powyżej.</w:t>
            </w:r>
          </w:p>
          <w:p w14:paraId="6F5E6007" w14:textId="704A2B4D" w:rsidR="000F32F6" w:rsidRPr="00BA3D7A" w:rsidRDefault="000F32F6" w:rsidP="00952F70">
            <w:pPr>
              <w:widowControl/>
              <w:numPr>
                <w:ilvl w:val="0"/>
                <w:numId w:val="6"/>
              </w:numPr>
              <w:spacing w:after="160" w:line="252" w:lineRule="auto"/>
              <w:textAlignment w:val="auto"/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t xml:space="preserve">Przygotowania szczegółowego programu spotkania, który musi zostać opatrzony logotypami przekazanymi przez Zamawiającego (logo UE, FERS) wraz z nazwą i adresem Zamawiającego oraz danymi eksperta, a następnie przesłanie tego dokumentu pocztą elektroniczną celem akceptacji przez Zamawiającego w terminie do </w:t>
            </w:r>
            <w:r w:rsidR="00056BB5" w:rsidRPr="00BA3D7A">
              <w:rPr>
                <w:rFonts w:cs="Calibri"/>
                <w:iCs/>
                <w:sz w:val="20"/>
              </w:rPr>
              <w:t>7</w:t>
            </w:r>
            <w:r w:rsidRPr="00BA3D7A">
              <w:rPr>
                <w:rFonts w:cs="Calibri"/>
                <w:iCs/>
                <w:sz w:val="20"/>
              </w:rPr>
              <w:t xml:space="preserve"> dni kalendarzowych przed rozpoczęciem realizacji usługi;</w:t>
            </w:r>
          </w:p>
          <w:p w14:paraId="1296EFD2" w14:textId="77777777" w:rsidR="000F32F6" w:rsidRPr="00BA3D7A" w:rsidRDefault="000F32F6" w:rsidP="00952F70">
            <w:pPr>
              <w:widowControl/>
              <w:numPr>
                <w:ilvl w:val="0"/>
                <w:numId w:val="6"/>
              </w:numPr>
              <w:spacing w:after="160" w:line="252" w:lineRule="auto"/>
              <w:textAlignment w:val="auto"/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t xml:space="preserve">Przygotowanie </w:t>
            </w:r>
            <w:r w:rsidRPr="00BA3D7A">
              <w:rPr>
                <w:rStyle w:val="Pogrubienie"/>
                <w:iCs/>
                <w:sz w:val="20"/>
              </w:rPr>
              <w:t xml:space="preserve">materiałów edukacyjnych, co najmniej w formie prezentacji multimedialnej </w:t>
            </w:r>
            <w:r w:rsidRPr="00BA3D7A">
              <w:rPr>
                <w:rFonts w:cs="Calibri"/>
                <w:iCs/>
                <w:sz w:val="20"/>
              </w:rPr>
              <w:t>bezpośrednio w tematyce spotkania.</w:t>
            </w:r>
          </w:p>
          <w:p w14:paraId="437B134C" w14:textId="77777777" w:rsidR="000F32F6" w:rsidRPr="00BA3D7A" w:rsidRDefault="000F32F6">
            <w:pPr>
              <w:ind w:left="720"/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t>Wszelkie materiały (w tym prezentacja multimedialna) muszą zostać opatrzone logotypami przekazanymi przez Zamawiającego (logo UE, FERS) oraz zawierać:</w:t>
            </w:r>
          </w:p>
          <w:p w14:paraId="63A01370" w14:textId="77777777" w:rsidR="000F32F6" w:rsidRPr="00BA3D7A" w:rsidRDefault="000F32F6" w:rsidP="00952F70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spacing w:after="0" w:line="252" w:lineRule="auto"/>
              <w:contextualSpacing w:val="0"/>
              <w:rPr>
                <w:rFonts w:cs="Calibri"/>
                <w:iCs/>
                <w:sz w:val="20"/>
                <w:szCs w:val="20"/>
              </w:rPr>
            </w:pPr>
            <w:r w:rsidRPr="00BA3D7A">
              <w:rPr>
                <w:rFonts w:cs="Calibri"/>
                <w:iCs/>
                <w:sz w:val="20"/>
                <w:szCs w:val="20"/>
              </w:rPr>
              <w:lastRenderedPageBreak/>
              <w:t>informacje o źródłach finansowania,</w:t>
            </w:r>
          </w:p>
          <w:p w14:paraId="0F169ECF" w14:textId="77777777" w:rsidR="000F32F6" w:rsidRPr="00BA3D7A" w:rsidRDefault="000F32F6" w:rsidP="00952F70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spacing w:after="0" w:line="252" w:lineRule="auto"/>
              <w:contextualSpacing w:val="0"/>
              <w:rPr>
                <w:rFonts w:cs="Calibri"/>
                <w:iCs/>
                <w:sz w:val="20"/>
                <w:szCs w:val="20"/>
              </w:rPr>
            </w:pPr>
            <w:r w:rsidRPr="00BA3D7A">
              <w:rPr>
                <w:rFonts w:cs="Calibri"/>
                <w:iCs/>
                <w:sz w:val="20"/>
                <w:szCs w:val="20"/>
              </w:rPr>
              <w:t>nazwę i adres Zamawiającego,</w:t>
            </w:r>
          </w:p>
          <w:p w14:paraId="71D72CFC" w14:textId="77777777" w:rsidR="000F32F6" w:rsidRPr="00BA3D7A" w:rsidRDefault="000F32F6" w:rsidP="00952F70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spacing w:after="0" w:line="252" w:lineRule="auto"/>
              <w:contextualSpacing w:val="0"/>
              <w:rPr>
                <w:rFonts w:cs="Calibri"/>
                <w:iCs/>
                <w:sz w:val="20"/>
                <w:szCs w:val="20"/>
              </w:rPr>
            </w:pPr>
            <w:r w:rsidRPr="00BA3D7A">
              <w:rPr>
                <w:rFonts w:cs="Calibri"/>
                <w:iCs/>
                <w:sz w:val="20"/>
                <w:szCs w:val="20"/>
              </w:rPr>
              <w:t>dane eksperta,</w:t>
            </w:r>
          </w:p>
          <w:p w14:paraId="66E5ABD1" w14:textId="77777777" w:rsidR="000F32F6" w:rsidRPr="00BA3D7A" w:rsidRDefault="000F32F6" w:rsidP="00952F70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spacing w:after="160" w:line="252" w:lineRule="auto"/>
              <w:contextualSpacing w:val="0"/>
              <w:rPr>
                <w:rFonts w:cs="Calibri"/>
                <w:iCs/>
                <w:sz w:val="20"/>
                <w:szCs w:val="20"/>
              </w:rPr>
            </w:pPr>
            <w:r w:rsidRPr="00BA3D7A">
              <w:rPr>
                <w:rFonts w:cs="Calibri"/>
                <w:iCs/>
                <w:sz w:val="20"/>
                <w:szCs w:val="20"/>
              </w:rPr>
              <w:t>informować o tym, że są one dystrybuowane bezpłatnie.</w:t>
            </w:r>
          </w:p>
          <w:p w14:paraId="13FD5CE7" w14:textId="2630247E" w:rsidR="000F32F6" w:rsidRPr="00BA3D7A" w:rsidRDefault="000F32F6">
            <w:pPr>
              <w:pStyle w:val="pf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Materiały edukacyjne muszą zostać przekazane w formie dokumentu PDF oraz, w przypadku prezentacji multimedialnej,  w formie pliku PTX lub PPT lub ODP, celem akceptacji przez Zamawiającego w terminie do </w:t>
            </w:r>
            <w:r w:rsidR="00056BB5" w:rsidRPr="00BA3D7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3 </w:t>
            </w:r>
            <w:r w:rsidRPr="00BA3D7A">
              <w:rPr>
                <w:rFonts w:asciiTheme="minorHAnsi" w:hAnsiTheme="minorHAnsi" w:cstheme="minorHAnsi"/>
                <w:iCs/>
                <w:sz w:val="20"/>
                <w:szCs w:val="20"/>
              </w:rPr>
              <w:t>dni kalendarzowych przed rozpoczęciem realizacji usługi. Prezentacja zostanie przedstawiona podczas spotkania oraz udostępniona uczestnikom spotkania przez Zamawiającego po zrealizowanym spotkaniu.</w:t>
            </w:r>
          </w:p>
          <w:p w14:paraId="79E1B393" w14:textId="77777777" w:rsidR="000F32F6" w:rsidRPr="00BA3D7A" w:rsidRDefault="000F32F6">
            <w:pPr>
              <w:rPr>
                <w:rStyle w:val="Hipercze"/>
                <w:rFonts w:cs="Calibri"/>
                <w:iCs/>
                <w:sz w:val="20"/>
              </w:rPr>
            </w:pPr>
            <w:r w:rsidRPr="00BA3D7A">
              <w:rPr>
                <w:rFonts w:asciiTheme="minorHAnsi" w:eastAsia="Times New Roman" w:hAnsiTheme="minorHAnsi" w:cstheme="minorHAnsi"/>
                <w:iCs/>
                <w:kern w:val="0"/>
                <w:sz w:val="20"/>
              </w:rPr>
              <w:t>Przygotowane materiały edukacyjne muszą spełniać wymagania zawarte w dokumencie Załącznik nr 2 „Standardy dostępności dla polityki spójności 2021-2027</w:t>
            </w:r>
            <w:r w:rsidRPr="00BA3D7A">
              <w:rPr>
                <w:rFonts w:asciiTheme="minorHAnsi" w:hAnsiTheme="minorHAnsi" w:cstheme="minorHAnsi"/>
                <w:iCs/>
                <w:sz w:val="20"/>
              </w:rPr>
              <w:t>” (w szczególności punkt III, rozdział 2, 3 i 4, str. 33-44) do dokumentu „Wytyczne dotyczące realizacji zasad równościowych w ramach funduszy unijnych na</w:t>
            </w:r>
            <w:r w:rsidRPr="00BA3D7A">
              <w:rPr>
                <w:rFonts w:cs="Calibri"/>
                <w:iCs/>
                <w:sz w:val="20"/>
              </w:rPr>
              <w:t xml:space="preserve"> lata 2021-2027”, który został udostępniony pod linkiem: </w:t>
            </w:r>
            <w:hyperlink r:id="rId8" w:history="1">
              <w:r w:rsidRPr="00BA3D7A">
                <w:rPr>
                  <w:rStyle w:val="Hipercze"/>
                  <w:rFonts w:cs="Calibri"/>
                  <w:iCs/>
                  <w:sz w:val="20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4B618BEE" w14:textId="77777777" w:rsidR="00702A24" w:rsidRPr="00BA3D7A" w:rsidRDefault="00702A24">
            <w:pPr>
              <w:rPr>
                <w:rStyle w:val="Hipercze"/>
                <w:rFonts w:cs="Calibri"/>
                <w:iCs/>
                <w:sz w:val="20"/>
              </w:rPr>
            </w:pPr>
          </w:p>
          <w:p w14:paraId="3BF55A3F" w14:textId="77777777" w:rsidR="00702A24" w:rsidRPr="00BA3D7A" w:rsidRDefault="00702A24" w:rsidP="00702A24">
            <w:pPr>
              <w:rPr>
                <w:rStyle w:val="Hipercze"/>
                <w:rFonts w:asciiTheme="minorHAnsi" w:hAnsiTheme="minorHAnsi" w:cstheme="minorHAnsi"/>
                <w:color w:val="auto"/>
                <w:sz w:val="20"/>
                <w:u w:val="none"/>
              </w:rPr>
            </w:pPr>
            <w:r w:rsidRPr="00BA3D7A">
              <w:rPr>
                <w:rStyle w:val="Hipercze"/>
                <w:rFonts w:asciiTheme="minorHAnsi" w:hAnsiTheme="minorHAnsi" w:cstheme="minorHAnsi"/>
                <w:color w:val="auto"/>
                <w:sz w:val="20"/>
                <w:u w:val="none"/>
              </w:rPr>
              <w:t xml:space="preserve">Poniżej zawarty jest wyciąg z </w:t>
            </w:r>
            <w:proofErr w:type="spellStart"/>
            <w:r w:rsidRPr="00BA3D7A">
              <w:rPr>
                <w:rStyle w:val="Hipercze"/>
                <w:rFonts w:asciiTheme="minorHAnsi" w:hAnsiTheme="minorHAnsi" w:cstheme="minorHAnsi"/>
                <w:color w:val="auto"/>
                <w:sz w:val="20"/>
                <w:u w:val="none"/>
              </w:rPr>
              <w:t>ww</w:t>
            </w:r>
            <w:proofErr w:type="spellEnd"/>
            <w:r w:rsidRPr="00BA3D7A">
              <w:rPr>
                <w:rStyle w:val="Hipercze"/>
                <w:rFonts w:asciiTheme="minorHAnsi" w:hAnsiTheme="minorHAnsi" w:cstheme="minorHAnsi"/>
                <w:color w:val="auto"/>
                <w:sz w:val="20"/>
                <w:u w:val="none"/>
              </w:rPr>
              <w:t xml:space="preserve"> Standardów, dot. niezbędnych wymagań wobec materiałów edukacyjnych:</w:t>
            </w:r>
          </w:p>
          <w:p w14:paraId="4E93F904" w14:textId="77777777" w:rsidR="00702A24" w:rsidRPr="00BA3D7A" w:rsidRDefault="00702A24" w:rsidP="00952F70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Materiały. Informacja pisana</w:t>
            </w:r>
          </w:p>
          <w:p w14:paraId="1DC4F39C" w14:textId="77777777" w:rsidR="00702A24" w:rsidRPr="00BA3D7A" w:rsidRDefault="00702A24" w:rsidP="00702A24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>Materiały są przygotowane co najmniej w wersji elektronicznej. Preferowana forma zapisu dokumentu to format pdf.</w:t>
            </w:r>
          </w:p>
          <w:p w14:paraId="27C26364" w14:textId="77777777" w:rsidR="00702A24" w:rsidRPr="00BA3D7A" w:rsidRDefault="00702A24" w:rsidP="00702A2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hAnsiTheme="minorHAnsi" w:cstheme="minorHAnsi"/>
                <w:sz w:val="20"/>
              </w:rPr>
              <w:t>Wytyczne do informacji pisanej:</w:t>
            </w:r>
          </w:p>
          <w:p w14:paraId="676BC440" w14:textId="77777777" w:rsidR="00702A24" w:rsidRPr="00BA3D7A" w:rsidRDefault="00702A24" w:rsidP="00952F70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Teksty – są pisane prostym językiem: </w:t>
            </w:r>
          </w:p>
          <w:p w14:paraId="2C54ABAF" w14:textId="77777777" w:rsidR="00702A24" w:rsidRPr="00BA3D7A" w:rsidRDefault="00702A24" w:rsidP="00952F70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o ile to możliwe, unika się żargonów, skrótów i związków frazeologicznych </w:t>
            </w:r>
          </w:p>
          <w:p w14:paraId="474B29A6" w14:textId="77777777" w:rsidR="00702A24" w:rsidRPr="00BA3D7A" w:rsidRDefault="00702A24" w:rsidP="00952F70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nie używa się trudnych wyrazów, a także skrótów zapożyczonych z innego języka, chyba że są dobrze znane </w:t>
            </w:r>
          </w:p>
          <w:p w14:paraId="29898D50" w14:textId="77777777" w:rsidR="00702A24" w:rsidRPr="00BA3D7A" w:rsidRDefault="00702A24" w:rsidP="00952F70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1CFEFEE5" w14:textId="77777777" w:rsidR="00702A24" w:rsidRPr="00BA3D7A" w:rsidRDefault="00702A24" w:rsidP="00952F70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w zdaniach stosuje się stronę czynną zamiast biernej </w:t>
            </w:r>
          </w:p>
          <w:p w14:paraId="7D855FF1" w14:textId="77777777" w:rsidR="00702A24" w:rsidRPr="00BA3D7A" w:rsidRDefault="00702A24" w:rsidP="00952F70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podawane są przykłady </w:t>
            </w:r>
          </w:p>
          <w:p w14:paraId="00BEAF12" w14:textId="77777777" w:rsidR="00702A24" w:rsidRPr="00BA3D7A" w:rsidRDefault="00702A24" w:rsidP="00952F70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wyrównane są do lewej strony – nie stosujemy justowania </w:t>
            </w:r>
          </w:p>
          <w:p w14:paraId="2E4EE53C" w14:textId="77777777" w:rsidR="00702A24" w:rsidRPr="00BA3D7A" w:rsidRDefault="00702A24" w:rsidP="00952F70">
            <w:pPr>
              <w:pStyle w:val="Default"/>
              <w:numPr>
                <w:ilvl w:val="0"/>
                <w:numId w:val="11"/>
              </w:numPr>
              <w:spacing w:after="196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23BD0245" w14:textId="77777777" w:rsidR="00702A24" w:rsidRPr="00BA3D7A" w:rsidRDefault="00702A24" w:rsidP="00952F70">
            <w:pPr>
              <w:pStyle w:val="Default"/>
              <w:numPr>
                <w:ilvl w:val="0"/>
                <w:numId w:val="10"/>
              </w:numPr>
              <w:spacing w:after="196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Dzielenie wyrazów</w:t>
            </w: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250CDD62" w14:textId="77777777" w:rsidR="00702A24" w:rsidRPr="00BA3D7A" w:rsidRDefault="00702A24" w:rsidP="00952F70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Czcionka: </w:t>
            </w:r>
          </w:p>
          <w:p w14:paraId="7995BF4B" w14:textId="77777777" w:rsidR="00702A24" w:rsidRPr="00BA3D7A" w:rsidRDefault="00702A24" w:rsidP="00952F70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A3D7A">
              <w:rPr>
                <w:rFonts w:asciiTheme="minorHAnsi" w:hAnsiTheme="minorHAnsi" w:cstheme="minorHAnsi"/>
                <w:sz w:val="20"/>
                <w:szCs w:val="20"/>
              </w:rPr>
              <w:t>bezszeryfowa</w:t>
            </w:r>
            <w:proofErr w:type="spellEnd"/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, czyli o kroju pozbawionym ozdobników w postaci szeryfów – końcówki znaków są proste (na przykład </w:t>
            </w:r>
            <w:proofErr w:type="spellStart"/>
            <w:r w:rsidRPr="00BA3D7A">
              <w:rPr>
                <w:rFonts w:asciiTheme="minorHAnsi" w:hAnsiTheme="minorHAnsi" w:cstheme="minorHAnsi"/>
                <w:sz w:val="20"/>
                <w:szCs w:val="20"/>
              </w:rPr>
              <w:t>Helvetica</w:t>
            </w:r>
            <w:proofErr w:type="spellEnd"/>
            <w:r w:rsidRPr="00BA3D7A">
              <w:rPr>
                <w:rFonts w:asciiTheme="minorHAnsi" w:hAnsiTheme="minorHAnsi" w:cstheme="minorHAnsi"/>
                <w:sz w:val="20"/>
                <w:szCs w:val="20"/>
              </w:rPr>
              <w:t>, Arial, Calibri, Tahoma); przykłady czcionek szeryfowych, których nie należy stosować, to miedzy innymi Times New Roman, Century</w:t>
            </w:r>
          </w:p>
          <w:p w14:paraId="00D89BC5" w14:textId="77777777" w:rsidR="00702A24" w:rsidRPr="00BA3D7A" w:rsidRDefault="00702A24" w:rsidP="00952F70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rozmiar: minimum 12 </w:t>
            </w:r>
          </w:p>
          <w:p w14:paraId="10DC85A6" w14:textId="77777777" w:rsidR="00702A24" w:rsidRPr="00BA3D7A" w:rsidRDefault="00702A24" w:rsidP="00952F70">
            <w:pPr>
              <w:pStyle w:val="Default"/>
              <w:numPr>
                <w:ilvl w:val="0"/>
                <w:numId w:val="12"/>
              </w:numPr>
              <w:spacing w:after="196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należy stosować interlinię miedzy wierszami: 1,15 lub 1,5. </w:t>
            </w:r>
          </w:p>
          <w:p w14:paraId="76FFE3CE" w14:textId="77777777" w:rsidR="00702A24" w:rsidRPr="00BA3D7A" w:rsidRDefault="00702A24" w:rsidP="00952F70">
            <w:pPr>
              <w:pStyle w:val="Default"/>
              <w:numPr>
                <w:ilvl w:val="0"/>
                <w:numId w:val="10"/>
              </w:numPr>
              <w:spacing w:after="196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Nagłówki</w:t>
            </w: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51D34B83" w14:textId="77777777" w:rsidR="00702A24" w:rsidRPr="00BA3D7A" w:rsidRDefault="00702A24" w:rsidP="00952F70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Akapity</w:t>
            </w: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 – tekst jest dzielony na akapity, które decydują o jego czytelności  </w:t>
            </w:r>
          </w:p>
          <w:p w14:paraId="3204B197" w14:textId="77777777" w:rsidR="00702A24" w:rsidRPr="00BA3D7A" w:rsidRDefault="00702A24" w:rsidP="00952F70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>przeniesienie fragmentu akapitu czy zdania do nowej linii wykonuje się przez wstawienie znaku podziału linii – znak ten można wstawić używając klawiszy: &lt;</w:t>
            </w:r>
            <w:proofErr w:type="spellStart"/>
            <w:r w:rsidRPr="00BA3D7A">
              <w:rPr>
                <w:rFonts w:asciiTheme="minorHAnsi" w:hAnsiTheme="minorHAnsi" w:cstheme="minorHAnsi"/>
                <w:sz w:val="20"/>
                <w:szCs w:val="20"/>
              </w:rPr>
              <w:t>Shift+Enter</w:t>
            </w:r>
            <w:proofErr w:type="spellEnd"/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&gt; </w:t>
            </w:r>
          </w:p>
          <w:p w14:paraId="791DAEE4" w14:textId="77777777" w:rsidR="00702A24" w:rsidRPr="00BA3D7A" w:rsidRDefault="00702A24" w:rsidP="00952F70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>przeniesienie fragmentu dokumentu na nową stronę wykonuje się przez wstawienie znaku podziału strony: &lt;</w:t>
            </w:r>
            <w:proofErr w:type="spellStart"/>
            <w:r w:rsidRPr="00BA3D7A">
              <w:rPr>
                <w:rFonts w:asciiTheme="minorHAnsi" w:hAnsiTheme="minorHAnsi" w:cstheme="minorHAnsi"/>
                <w:sz w:val="20"/>
                <w:szCs w:val="20"/>
              </w:rPr>
              <w:t>Ctrl+Enter</w:t>
            </w:r>
            <w:proofErr w:type="spellEnd"/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&gt; </w:t>
            </w:r>
          </w:p>
          <w:p w14:paraId="02CB5426" w14:textId="77777777" w:rsidR="00702A24" w:rsidRPr="00BA3D7A" w:rsidRDefault="00702A24" w:rsidP="00952F70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>nie używa się klawisza &lt;</w:t>
            </w:r>
            <w:proofErr w:type="spellStart"/>
            <w:r w:rsidRPr="00BA3D7A">
              <w:rPr>
                <w:rFonts w:asciiTheme="minorHAnsi" w:hAnsiTheme="minorHAnsi" w:cstheme="minorHAnsi"/>
                <w:sz w:val="20"/>
                <w:szCs w:val="20"/>
              </w:rPr>
              <w:t>Enter</w:t>
            </w:r>
            <w:proofErr w:type="spellEnd"/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&gt; do przesuwania treści – użytkownicy niewidomi otrzymują wówczas błędną informację od czytnika ekranu; może to również spowodować błędne wyświetlanie się dokumentów </w:t>
            </w:r>
          </w:p>
          <w:p w14:paraId="4D67D7E6" w14:textId="77777777" w:rsidR="00702A24" w:rsidRPr="00BA3D7A" w:rsidRDefault="00702A24" w:rsidP="00952F70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23D25ED6" w14:textId="77777777" w:rsidR="00702A24" w:rsidRPr="00BA3D7A" w:rsidRDefault="00702A24" w:rsidP="00952F70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Hiperłącza</w:t>
            </w: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588CFEC6" w14:textId="77777777" w:rsidR="00702A24" w:rsidRPr="00BA3D7A" w:rsidRDefault="00702A24" w:rsidP="00952F70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zamiast: http://power.parp.gov.pl/harmonogram/harmonogram-naborow-na-2017-rok, </w:t>
            </w:r>
          </w:p>
          <w:p w14:paraId="3416D343" w14:textId="77777777" w:rsidR="00702A24" w:rsidRPr="00BA3D7A" w:rsidRDefault="00702A24" w:rsidP="00952F70">
            <w:pPr>
              <w:pStyle w:val="Default"/>
              <w:numPr>
                <w:ilvl w:val="0"/>
                <w:numId w:val="14"/>
              </w:num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napisz: Terminy naborów. </w:t>
            </w:r>
          </w:p>
          <w:p w14:paraId="6AB3894E" w14:textId="77777777" w:rsidR="00702A24" w:rsidRPr="00BA3D7A" w:rsidRDefault="00702A24" w:rsidP="00952F70">
            <w:pPr>
              <w:pStyle w:val="Default"/>
              <w:numPr>
                <w:ilvl w:val="0"/>
                <w:numId w:val="10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Listy elementów – numeracja i </w:t>
            </w:r>
            <w:proofErr w:type="spellStart"/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punktory</w:t>
            </w:r>
            <w:proofErr w:type="spellEnd"/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04A7589F" w14:textId="77777777" w:rsidR="00702A24" w:rsidRPr="00BA3D7A" w:rsidRDefault="00702A24" w:rsidP="00952F70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przy wymienianiu używane w sytuacji wymieniania w tekście powiązanych ze sobą elementów </w:t>
            </w:r>
          </w:p>
          <w:p w14:paraId="22FF72BA" w14:textId="77777777" w:rsidR="00702A24" w:rsidRPr="00BA3D7A" w:rsidRDefault="00702A24" w:rsidP="00952F70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ich zastosowanie ułatwia osobie z niepełnosprawnością nawigowanie po dokumencie </w:t>
            </w:r>
          </w:p>
          <w:p w14:paraId="3CE10E6E" w14:textId="77777777" w:rsidR="00702A24" w:rsidRPr="00BA3D7A" w:rsidRDefault="00702A24" w:rsidP="00952F70">
            <w:pPr>
              <w:pStyle w:val="Default"/>
              <w:numPr>
                <w:ilvl w:val="0"/>
                <w:numId w:val="15"/>
              </w:numPr>
              <w:spacing w:after="198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symbol </w:t>
            </w:r>
            <w:proofErr w:type="spellStart"/>
            <w:r w:rsidRPr="00BA3D7A">
              <w:rPr>
                <w:rFonts w:asciiTheme="minorHAnsi" w:hAnsiTheme="minorHAnsi" w:cstheme="minorHAnsi"/>
                <w:sz w:val="20"/>
                <w:szCs w:val="20"/>
              </w:rPr>
              <w:t>punktora</w:t>
            </w:r>
            <w:proofErr w:type="spellEnd"/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 lub liczba oznaczająca element listy powinna być wysunięta na lewo względem tekstu, dzięki temu elementy listy będą łatwo zauważalne. </w:t>
            </w:r>
          </w:p>
          <w:p w14:paraId="20F36908" w14:textId="77777777" w:rsidR="00702A24" w:rsidRPr="00BA3D7A" w:rsidRDefault="00702A24" w:rsidP="00952F70">
            <w:pPr>
              <w:pStyle w:val="Default"/>
              <w:numPr>
                <w:ilvl w:val="0"/>
                <w:numId w:val="10"/>
              </w:numPr>
              <w:spacing w:after="198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Kontrast </w:t>
            </w: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35110DEE" w14:textId="77777777" w:rsidR="00702A24" w:rsidRPr="00BA3D7A" w:rsidRDefault="00702A24" w:rsidP="00702A24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Tekst </w:t>
            </w:r>
            <w:proofErr w:type="spellStart"/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Tekst</w:t>
            </w:r>
            <w:proofErr w:type="spellEnd"/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7A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  <w:t>Tekst</w:t>
            </w:r>
            <w:proofErr w:type="spellEnd"/>
            <w:r w:rsidRPr="00BA3D7A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A3D7A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  <w:t>Tekst</w:t>
            </w:r>
            <w:proofErr w:type="spellEnd"/>
            <w:r w:rsidRPr="00BA3D7A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A3D7A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highlight w:val="yellow"/>
              </w:rPr>
              <w:t>Tekst</w:t>
            </w:r>
            <w:proofErr w:type="spellEnd"/>
            <w:r w:rsidRPr="00BA3D7A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D7A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highlight w:val="yellow"/>
              </w:rPr>
              <w:t>Tekst</w:t>
            </w:r>
            <w:proofErr w:type="spellEnd"/>
            <w:r w:rsidRPr="00BA3D7A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Tekst</w:t>
            </w:r>
            <w:proofErr w:type="spellEnd"/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Tekst</w:t>
            </w:r>
            <w:proofErr w:type="spellEnd"/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A503BE0" w14:textId="77777777" w:rsidR="00702A24" w:rsidRPr="00BA3D7A" w:rsidRDefault="00702A24" w:rsidP="00702A24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15E71B" w14:textId="77777777" w:rsidR="00702A24" w:rsidRPr="00BA3D7A" w:rsidRDefault="00702A24" w:rsidP="00952F70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Tabele: </w:t>
            </w:r>
          </w:p>
          <w:p w14:paraId="1A4FAB69" w14:textId="77777777" w:rsidR="00702A24" w:rsidRPr="00BA3D7A" w:rsidRDefault="00702A24" w:rsidP="00952F70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7D6FA240" w14:textId="77777777" w:rsidR="00702A24" w:rsidRPr="00BA3D7A" w:rsidRDefault="00702A24" w:rsidP="00952F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3EB0598D" w14:textId="77777777" w:rsidR="00702A24" w:rsidRPr="00BA3D7A" w:rsidRDefault="00702A24" w:rsidP="00952F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linie siatki są widoczne, co pozwala wizualnie rozpoznawać wiersze i kolumny, </w:t>
            </w:r>
          </w:p>
          <w:p w14:paraId="0E684A12" w14:textId="77777777" w:rsidR="00702A24" w:rsidRPr="00BA3D7A" w:rsidRDefault="00702A24" w:rsidP="00952F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wyrównując tekst w kolumnach należy wyrównywać do lewej </w:t>
            </w:r>
          </w:p>
          <w:p w14:paraId="51EE51D4" w14:textId="77777777" w:rsidR="00702A24" w:rsidRPr="00BA3D7A" w:rsidRDefault="00702A24" w:rsidP="00952F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liczbowe wyrównuje się do prawej lub do przecinka dziesiętnego.</w:t>
            </w:r>
          </w:p>
          <w:p w14:paraId="3EC6222F" w14:textId="77777777" w:rsidR="00702A24" w:rsidRPr="00BA3D7A" w:rsidRDefault="00702A24" w:rsidP="00702A24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21A3BB1" w14:textId="77777777" w:rsidR="00702A24" w:rsidRPr="00BA3D7A" w:rsidRDefault="00702A24" w:rsidP="00952F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Eksportowanie pliku do pdf jest niezbędne dla zwiększenia dostępności tego pliku. </w:t>
            </w:r>
          </w:p>
          <w:p w14:paraId="5370CE3D" w14:textId="77777777" w:rsidR="00702A24" w:rsidRPr="00BA3D7A" w:rsidRDefault="00702A24" w:rsidP="00952F70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29A4EB4E" w14:textId="77777777" w:rsidR="00702A24" w:rsidRPr="00BA3D7A" w:rsidRDefault="00702A24" w:rsidP="00952F70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Przy tworzeniu dokumentu typu PDF na przykład z dokumentów MS Word lub MS Excel należy wywołać polecenie </w:t>
            </w: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Zapisz jako </w:t>
            </w: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>następnie w polu Z</w:t>
            </w: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apisz jako typ </w:t>
            </w: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wybrać opcję PDF i po naciśnięciu przycisku </w:t>
            </w: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Opcje </w:t>
            </w: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zaznacza się </w:t>
            </w:r>
            <w:proofErr w:type="spellStart"/>
            <w:r w:rsidRPr="00BA3D7A">
              <w:rPr>
                <w:rFonts w:asciiTheme="minorHAnsi" w:hAnsiTheme="minorHAnsi" w:cstheme="minorHAnsi"/>
                <w:sz w:val="20"/>
                <w:szCs w:val="20"/>
              </w:rPr>
              <w:t>checkbox</w:t>
            </w:r>
            <w:proofErr w:type="spellEnd"/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3D7A"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</w:rPr>
              <w:t>Tagi</w:t>
            </w:r>
            <w:proofErr w:type="spellEnd"/>
            <w:r w:rsidRPr="00BA3D7A"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</w:rPr>
              <w:t xml:space="preserve"> struktury dla ułatwień dostępu </w:t>
            </w:r>
            <w:r w:rsidRPr="00BA3D7A"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 xml:space="preserve">oraz </w:t>
            </w:r>
            <w:proofErr w:type="spellStart"/>
            <w:r w:rsidRPr="00BA3D7A"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>checkbox</w:t>
            </w:r>
            <w:proofErr w:type="spellEnd"/>
            <w:r w:rsidRPr="00BA3D7A"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 xml:space="preserve"> </w:t>
            </w:r>
            <w:r w:rsidRPr="00BA3D7A"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</w:rPr>
              <w:t xml:space="preserve">Właściwości dokumentu. </w:t>
            </w:r>
          </w:p>
          <w:p w14:paraId="36E3CD74" w14:textId="77777777" w:rsidR="00702A24" w:rsidRPr="00BA3D7A" w:rsidRDefault="00702A24" w:rsidP="00702A24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4DA4DE" w14:textId="77777777" w:rsidR="00702A24" w:rsidRPr="00BA3D7A" w:rsidRDefault="00702A24" w:rsidP="00952F70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Informacja elektroniczna </w:t>
            </w:r>
          </w:p>
          <w:p w14:paraId="29BACEAA" w14:textId="77777777" w:rsidR="00702A24" w:rsidRPr="00BA3D7A" w:rsidRDefault="00702A24" w:rsidP="00702A2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Dokumenty dystrybuowane elektronicznie powinny być opracowane zgodnie z Standardem cyfrowy (Rozdział 3 Dokumenty elektroniczne) określonych w </w:t>
            </w: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Standardzie dostępności dla polityki spójności 2021-2027:</w:t>
            </w:r>
          </w:p>
          <w:p w14:paraId="7E970674" w14:textId="77777777" w:rsidR="00702A24" w:rsidRPr="00BA3D7A" w:rsidRDefault="00702A24" w:rsidP="00952F70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sz w:val="20"/>
                <w:szCs w:val="20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02DF80E9" w14:textId="77777777" w:rsidR="00702A24" w:rsidRPr="00BA3D7A" w:rsidRDefault="00702A24" w:rsidP="00952F70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Przy tworzeniu dokumentu typu PDF na przykład z dokumentów MS Word lub MS Excel należy wywołać polecenie </w:t>
            </w:r>
            <w:r w:rsidRPr="00BA3D7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Zapisz jako </w:t>
            </w:r>
            <w:r w:rsidRPr="00BA3D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następnie w polu Z</w:t>
            </w:r>
            <w:r w:rsidRPr="00BA3D7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apisz jako typ </w:t>
            </w:r>
            <w:r w:rsidRPr="00BA3D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wybrać opcję PDF i po naciśnięciu przycisku </w:t>
            </w:r>
            <w:r w:rsidRPr="00BA3D7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Opcje </w:t>
            </w:r>
            <w:r w:rsidRPr="00BA3D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zaznacza się </w:t>
            </w:r>
            <w:proofErr w:type="spellStart"/>
            <w:r w:rsidRPr="00BA3D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checkbox</w:t>
            </w:r>
            <w:proofErr w:type="spellEnd"/>
            <w:r w:rsidRPr="00BA3D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3D7A"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</w:rPr>
              <w:t>Tagi</w:t>
            </w:r>
            <w:proofErr w:type="spellEnd"/>
            <w:r w:rsidRPr="00BA3D7A"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</w:rPr>
              <w:t xml:space="preserve"> struktury dla ułatwień dostępu </w:t>
            </w:r>
            <w:r w:rsidRPr="00BA3D7A"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 xml:space="preserve">oraz </w:t>
            </w:r>
            <w:proofErr w:type="spellStart"/>
            <w:r w:rsidRPr="00BA3D7A"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>checkbox</w:t>
            </w:r>
            <w:proofErr w:type="spellEnd"/>
            <w:r w:rsidRPr="00BA3D7A"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 xml:space="preserve"> </w:t>
            </w:r>
            <w:r w:rsidRPr="00BA3D7A"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</w:rPr>
              <w:t>Właściwości dokumentu</w:t>
            </w:r>
            <w:r w:rsidRPr="00BA3D7A"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 xml:space="preserve">. </w:t>
            </w:r>
          </w:p>
          <w:p w14:paraId="53612C5B" w14:textId="77777777" w:rsidR="00702A24" w:rsidRPr="00BA3D7A" w:rsidRDefault="00702A24" w:rsidP="00952F70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51EF845D" w14:textId="77777777" w:rsidR="00702A24" w:rsidRPr="00BA3D7A" w:rsidRDefault="00702A24" w:rsidP="00702A2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6CB5C471" w14:textId="77777777" w:rsidR="00702A24" w:rsidRPr="00BA3D7A" w:rsidRDefault="00702A24" w:rsidP="00952F70">
            <w:pPr>
              <w:pStyle w:val="Akapitzlist"/>
              <w:numPr>
                <w:ilvl w:val="0"/>
                <w:numId w:val="9"/>
              </w:numPr>
              <w:spacing w:after="16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A3D7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Prezentacja multimedialna:</w:t>
            </w:r>
          </w:p>
          <w:p w14:paraId="143E0908" w14:textId="77777777" w:rsidR="00702A24" w:rsidRPr="00BA3D7A" w:rsidRDefault="00702A24" w:rsidP="00702A24">
            <w:p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hAnsiTheme="minorHAnsi" w:cstheme="minorHAnsi"/>
                <w:sz w:val="20"/>
              </w:rPr>
              <w:t>Prezentacje multimedialne przedstawiane podczas wydarzenia uwzględniają kryteria dostępności:</w:t>
            </w:r>
          </w:p>
          <w:p w14:paraId="2AED33A0" w14:textId="77777777" w:rsidR="00702A24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hAnsiTheme="minorHAnsi" w:cstheme="minorHAnsi"/>
                <w:sz w:val="20"/>
              </w:rPr>
              <w:lastRenderedPageBreak/>
              <w:t>unikalne tytuły dla każdego ze slajdów,</w:t>
            </w:r>
          </w:p>
          <w:p w14:paraId="68E2520C" w14:textId="77777777" w:rsidR="00702A24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hAnsiTheme="minorHAnsi" w:cstheme="minorHAnsi"/>
                <w:sz w:val="20"/>
              </w:rPr>
              <w:t>użycie krótkich równoważników zdań,</w:t>
            </w:r>
          </w:p>
          <w:p w14:paraId="4D7276CB" w14:textId="77777777" w:rsidR="00702A24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hAnsiTheme="minorHAnsi" w:cstheme="minorHAnsi"/>
                <w:sz w:val="20"/>
              </w:rPr>
              <w:t xml:space="preserve">zastosowanie dużej czcionki – minimum 18-20 punktów, </w:t>
            </w:r>
          </w:p>
          <w:p w14:paraId="3B441AD2" w14:textId="77777777" w:rsidR="00702A24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hAnsiTheme="minorHAnsi" w:cstheme="minorHAnsi"/>
                <w:sz w:val="20"/>
              </w:rPr>
              <w:t xml:space="preserve">zastosowanie czcionek </w:t>
            </w:r>
            <w:proofErr w:type="spellStart"/>
            <w:r w:rsidRPr="00BA3D7A">
              <w:rPr>
                <w:rFonts w:asciiTheme="minorHAnsi" w:hAnsiTheme="minorHAnsi" w:cstheme="minorHAnsi"/>
                <w:sz w:val="20"/>
              </w:rPr>
              <w:t>bezszeryfowych</w:t>
            </w:r>
            <w:proofErr w:type="spellEnd"/>
            <w:r w:rsidRPr="00BA3D7A">
              <w:rPr>
                <w:rFonts w:asciiTheme="minorHAnsi" w:hAnsiTheme="minorHAnsi" w:cstheme="minorHAnsi"/>
                <w:sz w:val="20"/>
              </w:rPr>
              <w:t xml:space="preserve">, na przykład </w:t>
            </w:r>
            <w:proofErr w:type="spellStart"/>
            <w:r w:rsidRPr="00BA3D7A">
              <w:rPr>
                <w:rFonts w:asciiTheme="minorHAnsi" w:hAnsiTheme="minorHAnsi" w:cstheme="minorHAnsi"/>
                <w:sz w:val="20"/>
              </w:rPr>
              <w:t>Helvetica</w:t>
            </w:r>
            <w:proofErr w:type="spellEnd"/>
            <w:r w:rsidRPr="00BA3D7A">
              <w:rPr>
                <w:rFonts w:asciiTheme="minorHAnsi" w:hAnsiTheme="minorHAnsi" w:cstheme="minorHAnsi"/>
                <w:sz w:val="20"/>
              </w:rPr>
              <w:t>, Arial, Verdana, Tahoma bez cieni,</w:t>
            </w:r>
          </w:p>
          <w:p w14:paraId="3EC5B24C" w14:textId="77777777" w:rsidR="00702A24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hAnsiTheme="minorHAnsi" w:cstheme="minorHAnsi"/>
                <w:sz w:val="20"/>
              </w:rPr>
              <w:t xml:space="preserve">zachowanie kontrastu czcionki do tła, </w:t>
            </w:r>
          </w:p>
          <w:p w14:paraId="4155D671" w14:textId="77777777" w:rsidR="00702A24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hAnsiTheme="minorHAnsi" w:cstheme="minorHAnsi"/>
                <w:sz w:val="20"/>
              </w:rPr>
              <w:t>zastosowanie wysokiej jakości grafiki, dużych zdjęć wraz z obligatoryjnym tekstem alternatywnym,</w:t>
            </w:r>
          </w:p>
          <w:p w14:paraId="151075CF" w14:textId="77777777" w:rsidR="00702A24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hAnsiTheme="minorHAnsi" w:cstheme="minorHAnsi"/>
                <w:sz w:val="20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338447FD" w14:textId="77777777" w:rsidR="00702A24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eastAsia="Times New Roman" w:hAnsiTheme="minorHAnsi" w:cstheme="minorHAnsi"/>
                <w:kern w:val="0"/>
                <w:sz w:val="20"/>
              </w:rPr>
              <w:t>brak automatycznego przesuwania slajdów,</w:t>
            </w:r>
          </w:p>
          <w:p w14:paraId="74CA7AD1" w14:textId="77777777" w:rsidR="00702A24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hAnsiTheme="minorHAnsi" w:cstheme="minorHAnsi"/>
                <w:sz w:val="20"/>
              </w:rPr>
              <w:t>p</w:t>
            </w:r>
            <w:r w:rsidRPr="00BA3D7A">
              <w:rPr>
                <w:rFonts w:asciiTheme="minorHAnsi" w:eastAsia="Times New Roman" w:hAnsiTheme="minorHAnsi" w:cstheme="minorHAnsi"/>
                <w:kern w:val="0"/>
                <w:sz w:val="20"/>
              </w:rPr>
              <w:t>roste przejścia między slajdami, bez dźwięku,</w:t>
            </w:r>
          </w:p>
          <w:p w14:paraId="16D68FD3" w14:textId="77777777" w:rsidR="00702A24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eastAsia="Times New Roman" w:hAnsiTheme="minorHAnsi" w:cstheme="minorHAnsi"/>
                <w:kern w:val="0"/>
                <w:sz w:val="20"/>
              </w:rPr>
              <w:t>w widoku Notatki nie należy umieszczać informacji o dostępności, takich jak tekst zastępczy,</w:t>
            </w:r>
          </w:p>
          <w:p w14:paraId="40585AB5" w14:textId="77777777" w:rsidR="00702A24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hAnsiTheme="minorHAnsi" w:cstheme="minorHAnsi"/>
                <w:sz w:val="20"/>
              </w:rPr>
              <w:t>w</w:t>
            </w:r>
            <w:r w:rsidRPr="00BA3D7A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przypadku wbudowanego wideo,  musi być ono opatrzone kodowanymi podpisami,</w:t>
            </w:r>
          </w:p>
          <w:p w14:paraId="189CAF6B" w14:textId="77777777" w:rsidR="00702A24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hAnsiTheme="minorHAnsi" w:cstheme="minorHAnsi"/>
                <w:sz w:val="20"/>
              </w:rPr>
              <w:t>w</w:t>
            </w:r>
            <w:r w:rsidRPr="00BA3D7A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przypadku wbudowanego dźwięku, musi być ono opatrzone transkrypcją,</w:t>
            </w:r>
          </w:p>
          <w:p w14:paraId="4E02514B" w14:textId="77777777" w:rsidR="00702A24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hAnsiTheme="minorHAnsi" w:cstheme="minorHAnsi"/>
                <w:sz w:val="20"/>
              </w:rPr>
              <w:t>j</w:t>
            </w:r>
            <w:r w:rsidRPr="00BA3D7A">
              <w:rPr>
                <w:rFonts w:asciiTheme="minorHAnsi" w:eastAsia="Times New Roman" w:hAnsiTheme="minorHAnsi" w:cstheme="minorHAnsi"/>
                <w:kern w:val="0"/>
                <w:sz w:val="20"/>
              </w:rPr>
              <w:t>eśli slajdy zawierają animacje, to powinny być one krótkie i nie odwracające uwagi od najważniejszych treści na stronie,</w:t>
            </w:r>
          </w:p>
          <w:p w14:paraId="49F597A4" w14:textId="77777777" w:rsidR="00702A24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BA3D7A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warto pamiętać, </w:t>
            </w:r>
            <w:r w:rsidRPr="00BA3D7A">
              <w:rPr>
                <w:rFonts w:asciiTheme="minorHAnsi" w:hAnsiTheme="minorHAnsi" w:cstheme="minorHAnsi"/>
                <w:sz w:val="20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BA3D7A">
              <w:rPr>
                <w:rFonts w:asciiTheme="minorHAnsi" w:hAnsiTheme="minorHAnsi" w:cstheme="minorHAnsi"/>
                <w:sz w:val="20"/>
                <w:lang w:eastAsia="hi-IN" w:bidi="hi-IN"/>
              </w:rPr>
              <w:t>,</w:t>
            </w:r>
          </w:p>
          <w:p w14:paraId="6AF09A3D" w14:textId="0BDDC1F0" w:rsidR="000F32F6" w:rsidRPr="00BA3D7A" w:rsidRDefault="00702A24" w:rsidP="00952F70">
            <w:pPr>
              <w:widowControl/>
              <w:numPr>
                <w:ilvl w:val="0"/>
                <w:numId w:val="19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iCs/>
                <w:sz w:val="20"/>
              </w:rPr>
            </w:pPr>
            <w:r w:rsidRPr="00BA3D7A">
              <w:rPr>
                <w:rFonts w:asciiTheme="minorHAnsi" w:hAnsiTheme="minorHAnsi" w:cstheme="minorHAnsi"/>
                <w:sz w:val="20"/>
                <w:lang w:eastAsia="hi-IN" w:bidi="hi-IN"/>
              </w:rPr>
              <w:t xml:space="preserve">po przygotowaniu prezentacji należy sprawdzić kolejność odczytu – w </w:t>
            </w:r>
            <w:r w:rsidRPr="00BA3D7A">
              <w:rPr>
                <w:rFonts w:asciiTheme="minorHAnsi" w:hAnsiTheme="minorHAnsi" w:cstheme="minorHAnsi"/>
                <w:sz w:val="20"/>
                <w:lang w:eastAsia="ar-SA" w:bidi="hi-IN"/>
              </w:rPr>
              <w:t>PowerPoint kolejność odczytu pokazywana jest odwrotnie.</w:t>
            </w:r>
          </w:p>
          <w:p w14:paraId="2B5A0B93" w14:textId="77777777" w:rsidR="00952F70" w:rsidRPr="00BA3D7A" w:rsidRDefault="00952F70" w:rsidP="00952F70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BA3D7A">
              <w:rPr>
                <w:rFonts w:asciiTheme="minorHAnsi" w:hAnsiTheme="minorHAnsi" w:cstheme="minorHAnsi"/>
                <w:b/>
                <w:bCs/>
                <w:iCs/>
                <w:sz w:val="20"/>
              </w:rPr>
              <w:t>Informacja o prawach autorskich:</w:t>
            </w:r>
          </w:p>
          <w:p w14:paraId="387AD228" w14:textId="77777777" w:rsidR="00952F70" w:rsidRPr="00BA3D7A" w:rsidRDefault="00952F70" w:rsidP="00952F70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 w:rsidRPr="00BA3D7A">
              <w:rPr>
                <w:rFonts w:cs="Calibri"/>
                <w:b/>
                <w:bCs/>
                <w:sz w:val="20"/>
                <w:szCs w:val="20"/>
              </w:rPr>
              <w:t xml:space="preserve">Creative </w:t>
            </w:r>
            <w:proofErr w:type="spellStart"/>
            <w:r w:rsidRPr="00BA3D7A">
              <w:rPr>
                <w:rFonts w:cs="Calibri"/>
                <w:b/>
                <w:bCs/>
                <w:sz w:val="20"/>
                <w:szCs w:val="20"/>
              </w:rPr>
              <w:t>Commons</w:t>
            </w:r>
            <w:proofErr w:type="spellEnd"/>
            <w:r w:rsidRPr="00BA3D7A">
              <w:rPr>
                <w:rFonts w:cs="Calibri"/>
                <w:sz w:val="20"/>
                <w:szCs w:val="20"/>
              </w:rPr>
              <w:t xml:space="preserve"> </w:t>
            </w:r>
            <w:r w:rsidRPr="00BA3D7A">
              <w:rPr>
                <w:rFonts w:cs="Calibri"/>
                <w:b/>
                <w:bCs/>
                <w:sz w:val="20"/>
                <w:szCs w:val="20"/>
              </w:rPr>
              <w:t xml:space="preserve">Uznanie autorstwa CC BY 4.0 </w:t>
            </w:r>
            <w:r w:rsidRPr="00BA3D7A">
              <w:rPr>
                <w:rFonts w:cs="Calibri"/>
                <w:sz w:val="20"/>
                <w:szCs w:val="20"/>
              </w:rPr>
              <w:t xml:space="preserve">(treść licencji jest dostępna na: </w:t>
            </w:r>
            <w:hyperlink r:id="rId9" w:history="1">
              <w:r w:rsidRPr="00BA3D7A">
                <w:rPr>
                  <w:rStyle w:val="Hipercze"/>
                  <w:rFonts w:cs="Calibri"/>
                  <w:sz w:val="20"/>
                  <w:szCs w:val="20"/>
                </w:rPr>
                <w:t>https://creativecommons.pl/poznaj-licencje-creative-commons/</w:t>
              </w:r>
            </w:hyperlink>
            <w:r w:rsidRPr="00BA3D7A">
              <w:rPr>
                <w:rFonts w:cs="Calibri"/>
                <w:sz w:val="20"/>
                <w:szCs w:val="20"/>
              </w:rPr>
              <w:t xml:space="preserve">)  </w:t>
            </w:r>
          </w:p>
          <w:p w14:paraId="5ADD1482" w14:textId="77777777" w:rsidR="00952F70" w:rsidRPr="00BA3D7A" w:rsidRDefault="00952F70" w:rsidP="00952F70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A3D7A">
              <w:rPr>
                <w:rFonts w:cs="Calibri"/>
                <w:sz w:val="20"/>
                <w:szCs w:val="20"/>
              </w:rPr>
              <w:t xml:space="preserve">Na wniosek </w:t>
            </w:r>
            <w:bookmarkStart w:id="1" w:name="_Hlk171582907"/>
            <w:r w:rsidRPr="00BA3D7A">
              <w:rPr>
                <w:rFonts w:cs="Calibri"/>
                <w:iCs/>
                <w:sz w:val="20"/>
                <w:szCs w:val="20"/>
              </w:rPr>
              <w:t>Instytucji Koordynującej Umowę Partnerstwa</w:t>
            </w:r>
            <w:bookmarkEnd w:id="1"/>
            <w:r w:rsidRPr="00BA3D7A">
              <w:rPr>
                <w:rFonts w:cs="Calibri"/>
                <w:sz w:val="20"/>
                <w:szCs w:val="20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6E68A01B" w14:textId="77777777" w:rsidR="00952F70" w:rsidRPr="00BA3D7A" w:rsidRDefault="00952F70" w:rsidP="00952F70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A3D7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Wykonawca wyraża zgodę na udostępnienie </w:t>
            </w:r>
            <w:r w:rsidRPr="00BA3D7A">
              <w:rPr>
                <w:rFonts w:cs="Calibri"/>
                <w:iCs/>
                <w:sz w:val="20"/>
                <w:szCs w:val="20"/>
              </w:rPr>
              <w:t>Instytucji Koordynującej Umowę Partnerstwa</w:t>
            </w:r>
            <w:r w:rsidRPr="00BA3D7A">
              <w:rPr>
                <w:rFonts w:cs="Calibri"/>
                <w:sz w:val="20"/>
                <w:szCs w:val="20"/>
              </w:rPr>
              <w:t xml:space="preserve"> Instytucji Zarządzającej, Instytucji Pośredniczącej i unijnych instytucji i organów</w:t>
            </w:r>
            <w:r w:rsidRPr="00BA3D7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utworów </w:t>
            </w:r>
            <w:r w:rsidRPr="00BA3D7A">
              <w:rPr>
                <w:rFonts w:cs="Calibri"/>
                <w:sz w:val="20"/>
                <w:szCs w:val="20"/>
              </w:rPr>
              <w:t>związanych z komunikacją i widocznością, które stworzono w ramach Projektu</w:t>
            </w:r>
            <w:r w:rsidRPr="00BA3D7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powstałych </w:t>
            </w:r>
            <w:r w:rsidRPr="00BA3D7A">
              <w:rPr>
                <w:rFonts w:cs="Calibri"/>
                <w:sz w:val="20"/>
                <w:szCs w:val="20"/>
              </w:rPr>
              <w:t>w ramach licencji, o której mowa w ust 1 przez Zamawiającego tym instytucjom;</w:t>
            </w:r>
          </w:p>
          <w:p w14:paraId="3ED326B1" w14:textId="77777777" w:rsidR="00952F70" w:rsidRPr="00BA3D7A" w:rsidRDefault="00952F70" w:rsidP="00952F70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A3D7A">
              <w:rPr>
                <w:rFonts w:cs="Calibri"/>
                <w:sz w:val="20"/>
                <w:szCs w:val="20"/>
              </w:rPr>
              <w:t>Sposoby publikacji zapewniającej otwarty dostęp, określa Instytucja Pośrednicząca, zgodnie z celem Projektu;</w:t>
            </w:r>
          </w:p>
          <w:p w14:paraId="458029F2" w14:textId="77777777" w:rsidR="00952F70" w:rsidRPr="00BA3D7A" w:rsidRDefault="00952F70" w:rsidP="00952F70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A3D7A">
              <w:rPr>
                <w:rFonts w:cs="Calibri"/>
                <w:sz w:val="20"/>
                <w:szCs w:val="20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60D5F3FE" w14:textId="77777777" w:rsidR="00952F70" w:rsidRPr="00BA3D7A" w:rsidRDefault="00952F70" w:rsidP="00952F70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BA3D7A">
              <w:rPr>
                <w:rFonts w:cs="Calibri"/>
                <w:sz w:val="20"/>
                <w:szCs w:val="20"/>
              </w:rPr>
              <w:lastRenderedPageBreak/>
              <w:t xml:space="preserve">W przypadku utworów zależnych, do których majątkowe prawa autorskie nie wygasły, a autorzy i spadkobiercy nie godzą się na uwolnienie prawa licencji, Zamawiający udostępni je </w:t>
            </w:r>
            <w:proofErr w:type="spellStart"/>
            <w:r w:rsidRPr="00BA3D7A">
              <w:rPr>
                <w:rFonts w:cs="Calibri"/>
                <w:sz w:val="20"/>
                <w:szCs w:val="20"/>
              </w:rPr>
              <w:t>ww</w:t>
            </w:r>
            <w:proofErr w:type="spellEnd"/>
            <w:r w:rsidRPr="00BA3D7A">
              <w:rPr>
                <w:rFonts w:cs="Calibri"/>
                <w:sz w:val="20"/>
                <w:szCs w:val="20"/>
              </w:rPr>
              <w:t xml:space="preserve"> instytucjom na zasadach określonych w ustawie z dnia 4 lutego 1994 r. o prawie autorskim i prawach pokrewnych.</w:t>
            </w:r>
          </w:p>
          <w:p w14:paraId="0AFE3144" w14:textId="77777777" w:rsidR="00952F70" w:rsidRPr="00BA3D7A" w:rsidRDefault="00952F70" w:rsidP="00952F70">
            <w:pPr>
              <w:ind w:left="360"/>
              <w:rPr>
                <w:rFonts w:cs="Calibri"/>
                <w:sz w:val="20"/>
              </w:rPr>
            </w:pPr>
          </w:p>
          <w:p w14:paraId="0C86AB03" w14:textId="0CBA2FE5" w:rsidR="00952F70" w:rsidRPr="00BA3D7A" w:rsidRDefault="00952F70" w:rsidP="00952F70">
            <w:pPr>
              <w:rPr>
                <w:rFonts w:cs="Calibri"/>
                <w:sz w:val="20"/>
              </w:rPr>
            </w:pPr>
            <w:r w:rsidRPr="00BA3D7A">
              <w:rPr>
                <w:rFonts w:cs="Calibri"/>
                <w:sz w:val="20"/>
              </w:rPr>
              <w:t>W przypadku wykorzystania do realizacji przedmów zamówienia materiałów wytworzonych poza projektem (poza usługą będąca przedmiotem umowy) nie podlegają one zasadom opisanym w ust. 2, 3 i 5.</w:t>
            </w:r>
          </w:p>
        </w:tc>
      </w:tr>
      <w:tr w:rsidR="000F32F6" w:rsidRPr="00BA3D7A" w14:paraId="1F582A6E" w14:textId="77777777" w:rsidTr="00221245">
        <w:trPr>
          <w:trHeight w:val="5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2836" w14:textId="77777777" w:rsidR="000F32F6" w:rsidRPr="00BA3D7A" w:rsidRDefault="000F32F6">
            <w:pPr>
              <w:rPr>
                <w:rFonts w:cs="Calibri"/>
                <w:iCs/>
                <w:sz w:val="20"/>
              </w:rPr>
            </w:pPr>
            <w:r w:rsidRPr="00BA3D7A">
              <w:rPr>
                <w:rFonts w:cs="Calibri"/>
                <w:iCs/>
                <w:sz w:val="20"/>
              </w:rPr>
              <w:lastRenderedPageBreak/>
              <w:t>Obowiązki stron</w:t>
            </w:r>
          </w:p>
          <w:p w14:paraId="19EE79E9" w14:textId="77777777" w:rsidR="000F32F6" w:rsidRPr="00BA3D7A" w:rsidRDefault="000F32F6">
            <w:pPr>
              <w:rPr>
                <w:rFonts w:cs="Calibri"/>
                <w:iCs/>
                <w:sz w:val="20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8E66" w14:textId="77777777" w:rsidR="000F32F6" w:rsidRPr="00BA3D7A" w:rsidRDefault="000F32F6">
            <w:pPr>
              <w:autoSpaceDE w:val="0"/>
              <w:adjustRightInd w:val="0"/>
              <w:rPr>
                <w:rFonts w:cs="Calibri"/>
                <w:b/>
                <w:iCs/>
                <w:sz w:val="20"/>
              </w:rPr>
            </w:pPr>
            <w:r w:rsidRPr="00BA3D7A">
              <w:rPr>
                <w:rFonts w:cs="Calibri"/>
                <w:b/>
                <w:iCs/>
                <w:sz w:val="20"/>
              </w:rPr>
              <w:t>Do obowiązków Zamawiającego należy:</w:t>
            </w:r>
          </w:p>
          <w:p w14:paraId="3EAEC615" w14:textId="77777777" w:rsidR="000F32F6" w:rsidRPr="00BA3D7A" w:rsidRDefault="000F32F6" w:rsidP="00952F70">
            <w:pPr>
              <w:numPr>
                <w:ilvl w:val="0"/>
                <w:numId w:val="7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>Rekrutacja uczestników spotkania.</w:t>
            </w:r>
          </w:p>
          <w:p w14:paraId="51F1E42D" w14:textId="77777777" w:rsidR="000F32F6" w:rsidRPr="00BA3D7A" w:rsidRDefault="000F32F6" w:rsidP="00952F70">
            <w:pPr>
              <w:numPr>
                <w:ilvl w:val="0"/>
                <w:numId w:val="7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>Przekazanie Wykonawcy w postaci elektronicznej logotypów projektu wraz z nazwą i adresem Zamawiającego.</w:t>
            </w:r>
          </w:p>
          <w:p w14:paraId="47CB764D" w14:textId="2237A322" w:rsidR="000F32F6" w:rsidRPr="00BA3D7A" w:rsidRDefault="000F32F6" w:rsidP="00952F70">
            <w:pPr>
              <w:numPr>
                <w:ilvl w:val="0"/>
                <w:numId w:val="7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 xml:space="preserve">Zapewnienie warunków do realizacji spotkania (sala, rzutnik, tablica – </w:t>
            </w:r>
            <w:proofErr w:type="spellStart"/>
            <w:r w:rsidRPr="00BA3D7A">
              <w:rPr>
                <w:rFonts w:cs="Calibri"/>
                <w:bCs/>
                <w:iCs/>
                <w:sz w:val="20"/>
              </w:rPr>
              <w:t>flipczart</w:t>
            </w:r>
            <w:proofErr w:type="spellEnd"/>
            <w:r w:rsidRPr="00BA3D7A">
              <w:rPr>
                <w:rFonts w:cs="Calibri"/>
                <w:bCs/>
                <w:iCs/>
                <w:sz w:val="20"/>
              </w:rPr>
              <w:t>).</w:t>
            </w:r>
          </w:p>
          <w:p w14:paraId="26186AAB" w14:textId="73D6A723" w:rsidR="008F6894" w:rsidRPr="00BA3D7A" w:rsidRDefault="008F6894" w:rsidP="00952F70">
            <w:pPr>
              <w:numPr>
                <w:ilvl w:val="0"/>
                <w:numId w:val="7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>Zapewnienie poczęstunku dla uczestników.</w:t>
            </w:r>
          </w:p>
          <w:p w14:paraId="63864DA6" w14:textId="77777777" w:rsidR="000F32F6" w:rsidRPr="00BA3D7A" w:rsidRDefault="000F32F6" w:rsidP="00952F70">
            <w:pPr>
              <w:numPr>
                <w:ilvl w:val="0"/>
                <w:numId w:val="7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>Monitoring formy wsparcia.</w:t>
            </w:r>
          </w:p>
          <w:p w14:paraId="325DC5CD" w14:textId="77777777" w:rsidR="000F32F6" w:rsidRPr="00BA3D7A" w:rsidRDefault="000F32F6" w:rsidP="00952F70">
            <w:pPr>
              <w:numPr>
                <w:ilvl w:val="0"/>
                <w:numId w:val="7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527A23E9" w14:textId="77777777" w:rsidR="000F32F6" w:rsidRPr="00BA3D7A" w:rsidRDefault="000F32F6" w:rsidP="008F6894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/>
                <w:iCs/>
                <w:sz w:val="20"/>
              </w:rPr>
              <w:t>Do obowiązków Wykonawcy należy:</w:t>
            </w:r>
          </w:p>
          <w:p w14:paraId="32C084B3" w14:textId="77777777" w:rsidR="000F32F6" w:rsidRPr="00BA3D7A" w:rsidRDefault="000F32F6" w:rsidP="00952F70">
            <w:pPr>
              <w:numPr>
                <w:ilvl w:val="0"/>
                <w:numId w:val="8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>Opracowanie szczegółowego programu spotkania w porozumieniu z Zamawiającym.</w:t>
            </w:r>
          </w:p>
          <w:p w14:paraId="1EAFA5D0" w14:textId="77777777" w:rsidR="000F32F6" w:rsidRPr="00BA3D7A" w:rsidRDefault="000F32F6" w:rsidP="00952F70">
            <w:pPr>
              <w:numPr>
                <w:ilvl w:val="0"/>
                <w:numId w:val="8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>Przygotowanie</w:t>
            </w:r>
            <w:r w:rsidRPr="00BA3D7A">
              <w:rPr>
                <w:rStyle w:val="Pogrubienie"/>
                <w:iCs/>
                <w:sz w:val="20"/>
              </w:rPr>
              <w:t xml:space="preserve"> materiałów edukacyjnych, co najmniej w formie prezentacji multimedialnej, </w:t>
            </w:r>
            <w:r w:rsidRPr="00BA3D7A">
              <w:rPr>
                <w:rFonts w:cs="Calibri"/>
                <w:bCs/>
                <w:iCs/>
                <w:sz w:val="20"/>
              </w:rPr>
              <w:t>zgodnie z zaakceptowanym przez Zamawiającego szczegółowym programem spotkania w wersji do prezentacji podczas spotkania oraz w wersji pdf w wersji do przekazania uczestnikom przez Zamawiającego.</w:t>
            </w:r>
          </w:p>
          <w:p w14:paraId="5378EDC9" w14:textId="77777777" w:rsidR="000F32F6" w:rsidRPr="00BA3D7A" w:rsidRDefault="000F32F6" w:rsidP="00952F70">
            <w:pPr>
              <w:numPr>
                <w:ilvl w:val="0"/>
                <w:numId w:val="8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>Zapewnienie eksperta do przeprowadzenia spotkania</w:t>
            </w:r>
          </w:p>
          <w:p w14:paraId="61470DF6" w14:textId="16E302DA" w:rsidR="000F32F6" w:rsidRPr="00BA3D7A" w:rsidRDefault="000F32F6" w:rsidP="00952F70">
            <w:pPr>
              <w:numPr>
                <w:ilvl w:val="0"/>
                <w:numId w:val="8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>Przeprowadzenie spotkania w wymiarze 4h zegarowe</w:t>
            </w:r>
            <w:r w:rsidR="00D4613F" w:rsidRPr="00BA3D7A">
              <w:rPr>
                <w:rFonts w:cs="Calibri"/>
                <w:bCs/>
                <w:iCs/>
                <w:sz w:val="20"/>
              </w:rPr>
              <w:t>/każde</w:t>
            </w:r>
            <w:r w:rsidR="00AB546E" w:rsidRPr="00BA3D7A">
              <w:rPr>
                <w:rFonts w:cs="Calibri"/>
                <w:bCs/>
                <w:iCs/>
                <w:sz w:val="20"/>
              </w:rPr>
              <w:t xml:space="preserve"> </w:t>
            </w:r>
            <w:r w:rsidRPr="00BA3D7A">
              <w:rPr>
                <w:rFonts w:cs="Calibri"/>
                <w:bCs/>
                <w:iCs/>
                <w:sz w:val="20"/>
              </w:rPr>
              <w:t xml:space="preserve">w uzgodnionym przez Zamawiającego terminie i we wskazanym miejscu. </w:t>
            </w:r>
            <w:r w:rsidR="00D4613F" w:rsidRPr="00BA3D7A">
              <w:rPr>
                <w:rFonts w:cs="Calibri"/>
                <w:bCs/>
                <w:iCs/>
                <w:sz w:val="20"/>
              </w:rPr>
              <w:t>Maksymalnie zostaną przeprowadzone trzy spotkania.</w:t>
            </w:r>
          </w:p>
          <w:p w14:paraId="7DEF7D51" w14:textId="77777777" w:rsidR="000F32F6" w:rsidRPr="00BA3D7A" w:rsidRDefault="000F32F6" w:rsidP="00952F70">
            <w:pPr>
              <w:numPr>
                <w:ilvl w:val="0"/>
                <w:numId w:val="8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cs="Calibri"/>
                <w:bCs/>
                <w:iCs/>
                <w:sz w:val="20"/>
              </w:rPr>
              <w:t>Współpraca z osobą koordynującą działania ze strony Zamawiającego.</w:t>
            </w:r>
          </w:p>
          <w:p w14:paraId="67A77C4B" w14:textId="77777777" w:rsidR="000F32F6" w:rsidRPr="00BA3D7A" w:rsidRDefault="000F32F6" w:rsidP="00952F70">
            <w:pPr>
              <w:numPr>
                <w:ilvl w:val="0"/>
                <w:numId w:val="8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 w:val="20"/>
              </w:rPr>
            </w:pPr>
            <w:r w:rsidRPr="00BA3D7A">
              <w:rPr>
                <w:rFonts w:ascii="Segoe UI" w:hAnsi="Segoe UI" w:cs="Segoe UI"/>
                <w:sz w:val="20"/>
              </w:rPr>
              <w:t>W</w:t>
            </w:r>
            <w:r w:rsidRPr="00BA3D7A">
              <w:rPr>
                <w:rFonts w:cs="Calibri"/>
                <w:bCs/>
                <w:iCs/>
                <w:sz w:val="20"/>
              </w:rPr>
              <w:t xml:space="preserve"> przypadku uczestnictwa w spotkaniu osób o szczególnych potrzebach -dostosowanie formy przekazu do ich potrzeb, zgodnie z ustawą o zapewnianiu dostępności osobom ze szczególnymi potrzebami.</w:t>
            </w:r>
          </w:p>
        </w:tc>
      </w:tr>
    </w:tbl>
    <w:p w14:paraId="311181C7" w14:textId="65129598" w:rsidR="002C59B3" w:rsidRPr="00BA3D7A" w:rsidRDefault="002C59B3" w:rsidP="00666EAC">
      <w:pPr>
        <w:rPr>
          <w:iCs/>
          <w:sz w:val="20"/>
        </w:rPr>
      </w:pPr>
    </w:p>
    <w:sectPr w:rsidR="002C59B3" w:rsidRPr="00BA3D7A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9AEC1" w14:textId="77777777" w:rsidR="00BE7E52" w:rsidRDefault="00BE7E52" w:rsidP="00784FE0">
      <w:r>
        <w:separator/>
      </w:r>
    </w:p>
  </w:endnote>
  <w:endnote w:type="continuationSeparator" w:id="0">
    <w:p w14:paraId="37FCE117" w14:textId="77777777" w:rsidR="00BE7E52" w:rsidRDefault="00BE7E5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E9E3F" w14:textId="77777777" w:rsidR="00BE7E52" w:rsidRDefault="00BE7E52" w:rsidP="00784FE0">
      <w:r>
        <w:separator/>
      </w:r>
    </w:p>
  </w:footnote>
  <w:footnote w:type="continuationSeparator" w:id="0">
    <w:p w14:paraId="39B7AB97" w14:textId="77777777" w:rsidR="00BE7E52" w:rsidRDefault="00BE7E52" w:rsidP="00784FE0">
      <w:r>
        <w:continuationSeparator/>
      </w:r>
    </w:p>
  </w:footnote>
  <w:footnote w:id="1">
    <w:p w14:paraId="62D626B8" w14:textId="77777777" w:rsidR="00237730" w:rsidRPr="00500552" w:rsidRDefault="00237730" w:rsidP="00237730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500552">
        <w:rPr>
          <w:rStyle w:val="Odwoanieprzypisudolnego"/>
          <w:sz w:val="18"/>
          <w:szCs w:val="18"/>
        </w:rPr>
        <w:footnoteRef/>
      </w:r>
      <w:r w:rsidRPr="00500552">
        <w:rPr>
          <w:sz w:val="18"/>
          <w:szCs w:val="18"/>
        </w:rPr>
        <w:t xml:space="preserve"> </w:t>
      </w:r>
      <w:r w:rsidRPr="00500552">
        <w:rPr>
          <w:rFonts w:ascii="Calibri" w:hAnsi="Calibri"/>
          <w:color w:val="auto"/>
          <w:sz w:val="18"/>
          <w:szCs w:val="18"/>
          <w:lang w:eastAsia="en-US"/>
        </w:rPr>
        <w:t>Przez instytucje i podmioty działające na rzecz włączenia społecznego rozumie się instytucje i podmioty  realizujące działania w obszarach wskazanych w Celu Strategicznym 4 lit. h-l EFS+, tj. aktywne włączenie społeczne, integracja społeczna osób zagrożonych ubóstwem i wykluczeniem społecznym, usługi społeczne i zdrowotne, ekonomia społeczna lub integracja społeczno-gospodarczej obywateli państw trzecich, w tym migrantów oraz społeczności marginalizowanych tj. Romowie.</w:t>
      </w:r>
    </w:p>
    <w:p w14:paraId="4C984E8A" w14:textId="77777777" w:rsidR="00237730" w:rsidRDefault="00237730" w:rsidP="0023773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5296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6997A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51C2D410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 xml:space="preserve">DZIAŁ </w:t>
    </w:r>
    <w:r w:rsidR="001F7342">
      <w:rPr>
        <w:kern w:val="0"/>
        <w:szCs w:val="22"/>
        <w:lang w:eastAsia="en-US"/>
      </w:rPr>
      <w:t>POLITYKI SPOŁECZNEJ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4E5D"/>
    <w:multiLevelType w:val="hybridMultilevel"/>
    <w:tmpl w:val="F2AC3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4E94"/>
    <w:multiLevelType w:val="hybridMultilevel"/>
    <w:tmpl w:val="3DC03BC8"/>
    <w:lvl w:ilvl="0" w:tplc="E3C23B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993B9D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92D65"/>
    <w:multiLevelType w:val="hybridMultilevel"/>
    <w:tmpl w:val="79645D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D0859"/>
    <w:multiLevelType w:val="hybridMultilevel"/>
    <w:tmpl w:val="5FB62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97DB7"/>
    <w:multiLevelType w:val="hybridMultilevel"/>
    <w:tmpl w:val="56F0C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F4E90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5E0664DC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B6509"/>
    <w:multiLevelType w:val="hybridMultilevel"/>
    <w:tmpl w:val="444A251C"/>
    <w:lvl w:ilvl="0" w:tplc="04150001">
      <w:numFmt w:val="decimal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numFmt w:val="decimal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0614365"/>
    <w:multiLevelType w:val="hybridMultilevel"/>
    <w:tmpl w:val="F7229FE2"/>
    <w:lvl w:ilvl="0" w:tplc="40F2027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2131C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0701E"/>
    <w:multiLevelType w:val="hybridMultilevel"/>
    <w:tmpl w:val="56F0C9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06416">
    <w:abstractNumId w:val="22"/>
  </w:num>
  <w:num w:numId="2" w16cid:durableId="1992906987">
    <w:abstractNumId w:val="6"/>
  </w:num>
  <w:num w:numId="3" w16cid:durableId="2037343158">
    <w:abstractNumId w:val="3"/>
  </w:num>
  <w:num w:numId="4" w16cid:durableId="1018655099">
    <w:abstractNumId w:val="10"/>
  </w:num>
  <w:num w:numId="5" w16cid:durableId="160825844">
    <w:abstractNumId w:val="16"/>
  </w:num>
  <w:num w:numId="6" w16cid:durableId="995450485">
    <w:abstractNumId w:val="7"/>
  </w:num>
  <w:num w:numId="7" w16cid:durableId="652175023">
    <w:abstractNumId w:val="13"/>
  </w:num>
  <w:num w:numId="8" w16cid:durableId="404689092">
    <w:abstractNumId w:val="1"/>
  </w:num>
  <w:num w:numId="9" w16cid:durableId="4683219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630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27360">
    <w:abstractNumId w:val="9"/>
  </w:num>
  <w:num w:numId="12" w16cid:durableId="486363026">
    <w:abstractNumId w:val="2"/>
  </w:num>
  <w:num w:numId="13" w16cid:durableId="347416643">
    <w:abstractNumId w:val="8"/>
  </w:num>
  <w:num w:numId="14" w16cid:durableId="314260765">
    <w:abstractNumId w:val="15"/>
  </w:num>
  <w:num w:numId="15" w16cid:durableId="227695408">
    <w:abstractNumId w:val="21"/>
  </w:num>
  <w:num w:numId="16" w16cid:durableId="1898667257">
    <w:abstractNumId w:val="14"/>
  </w:num>
  <w:num w:numId="17" w16cid:durableId="1169566429">
    <w:abstractNumId w:val="4"/>
  </w:num>
  <w:num w:numId="18" w16cid:durableId="173160820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4702417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325157687">
    <w:abstractNumId w:val="5"/>
  </w:num>
  <w:num w:numId="21" w16cid:durableId="1448739897">
    <w:abstractNumId w:val="12"/>
  </w:num>
  <w:num w:numId="22" w16cid:durableId="852380601">
    <w:abstractNumId w:val="0"/>
  </w:num>
  <w:num w:numId="23" w16cid:durableId="1945964346">
    <w:abstractNumId w:val="20"/>
  </w:num>
  <w:num w:numId="24" w16cid:durableId="52857305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2464D"/>
    <w:rsid w:val="0003101A"/>
    <w:rsid w:val="0003142D"/>
    <w:rsid w:val="0003437B"/>
    <w:rsid w:val="0004297C"/>
    <w:rsid w:val="000454F0"/>
    <w:rsid w:val="00052145"/>
    <w:rsid w:val="00053AB5"/>
    <w:rsid w:val="0005571F"/>
    <w:rsid w:val="00056BB5"/>
    <w:rsid w:val="0007063B"/>
    <w:rsid w:val="00090BF3"/>
    <w:rsid w:val="000964C7"/>
    <w:rsid w:val="000D28C5"/>
    <w:rsid w:val="000E41A9"/>
    <w:rsid w:val="000E66B1"/>
    <w:rsid w:val="000F32F6"/>
    <w:rsid w:val="000F510E"/>
    <w:rsid w:val="000F7195"/>
    <w:rsid w:val="00102C1B"/>
    <w:rsid w:val="001057AE"/>
    <w:rsid w:val="0012017E"/>
    <w:rsid w:val="00141353"/>
    <w:rsid w:val="001503AE"/>
    <w:rsid w:val="00151099"/>
    <w:rsid w:val="00170141"/>
    <w:rsid w:val="00171A58"/>
    <w:rsid w:val="001733CE"/>
    <w:rsid w:val="00186F1C"/>
    <w:rsid w:val="00193A4A"/>
    <w:rsid w:val="001A756E"/>
    <w:rsid w:val="001D332A"/>
    <w:rsid w:val="001E00CD"/>
    <w:rsid w:val="001F7342"/>
    <w:rsid w:val="00221245"/>
    <w:rsid w:val="00237274"/>
    <w:rsid w:val="00237730"/>
    <w:rsid w:val="002511A9"/>
    <w:rsid w:val="0025406D"/>
    <w:rsid w:val="0027439F"/>
    <w:rsid w:val="00287708"/>
    <w:rsid w:val="00293737"/>
    <w:rsid w:val="002A0C2F"/>
    <w:rsid w:val="002B19A1"/>
    <w:rsid w:val="002C02AB"/>
    <w:rsid w:val="002C59B3"/>
    <w:rsid w:val="002C6B01"/>
    <w:rsid w:val="002D1462"/>
    <w:rsid w:val="002D5A96"/>
    <w:rsid w:val="002E1CF3"/>
    <w:rsid w:val="002F371A"/>
    <w:rsid w:val="002F470D"/>
    <w:rsid w:val="002F793C"/>
    <w:rsid w:val="00324D4A"/>
    <w:rsid w:val="003421BE"/>
    <w:rsid w:val="003460B8"/>
    <w:rsid w:val="00351179"/>
    <w:rsid w:val="00363104"/>
    <w:rsid w:val="0037592F"/>
    <w:rsid w:val="003949DA"/>
    <w:rsid w:val="00397968"/>
    <w:rsid w:val="003A5015"/>
    <w:rsid w:val="003B58C8"/>
    <w:rsid w:val="003C1195"/>
    <w:rsid w:val="003D3FC8"/>
    <w:rsid w:val="003D779E"/>
    <w:rsid w:val="003D7D26"/>
    <w:rsid w:val="003E194C"/>
    <w:rsid w:val="003E397B"/>
    <w:rsid w:val="003F22C0"/>
    <w:rsid w:val="003F3386"/>
    <w:rsid w:val="00403CE9"/>
    <w:rsid w:val="0042299F"/>
    <w:rsid w:val="004245E9"/>
    <w:rsid w:val="00430370"/>
    <w:rsid w:val="004334C2"/>
    <w:rsid w:val="00433661"/>
    <w:rsid w:val="00451AD3"/>
    <w:rsid w:val="00495CB4"/>
    <w:rsid w:val="004B0281"/>
    <w:rsid w:val="004B1A7F"/>
    <w:rsid w:val="004B7FE7"/>
    <w:rsid w:val="004C0750"/>
    <w:rsid w:val="004D742C"/>
    <w:rsid w:val="004E76A6"/>
    <w:rsid w:val="00500552"/>
    <w:rsid w:val="00501742"/>
    <w:rsid w:val="00512C1C"/>
    <w:rsid w:val="00512D80"/>
    <w:rsid w:val="0052616B"/>
    <w:rsid w:val="0052776F"/>
    <w:rsid w:val="0053178C"/>
    <w:rsid w:val="005364D3"/>
    <w:rsid w:val="00543ADD"/>
    <w:rsid w:val="00566C3B"/>
    <w:rsid w:val="00567A1D"/>
    <w:rsid w:val="0058143C"/>
    <w:rsid w:val="005A10FE"/>
    <w:rsid w:val="005B08A2"/>
    <w:rsid w:val="005B0F7D"/>
    <w:rsid w:val="005B1382"/>
    <w:rsid w:val="005B706B"/>
    <w:rsid w:val="005F53FD"/>
    <w:rsid w:val="00602590"/>
    <w:rsid w:val="00621B06"/>
    <w:rsid w:val="00662CDF"/>
    <w:rsid w:val="00666EAC"/>
    <w:rsid w:val="006760E0"/>
    <w:rsid w:val="006877E4"/>
    <w:rsid w:val="00690F3D"/>
    <w:rsid w:val="00692A2E"/>
    <w:rsid w:val="006A0A68"/>
    <w:rsid w:val="006D2810"/>
    <w:rsid w:val="006E0E2E"/>
    <w:rsid w:val="006F0C4A"/>
    <w:rsid w:val="00702A24"/>
    <w:rsid w:val="00724A3A"/>
    <w:rsid w:val="00743460"/>
    <w:rsid w:val="00784FE0"/>
    <w:rsid w:val="0079155E"/>
    <w:rsid w:val="00792256"/>
    <w:rsid w:val="007973DF"/>
    <w:rsid w:val="007A4B23"/>
    <w:rsid w:val="007B4397"/>
    <w:rsid w:val="007D37BE"/>
    <w:rsid w:val="008159C5"/>
    <w:rsid w:val="00816EC4"/>
    <w:rsid w:val="008266D7"/>
    <w:rsid w:val="00826F37"/>
    <w:rsid w:val="0084073A"/>
    <w:rsid w:val="00875007"/>
    <w:rsid w:val="008768B4"/>
    <w:rsid w:val="008850F1"/>
    <w:rsid w:val="008B2D0C"/>
    <w:rsid w:val="008F6894"/>
    <w:rsid w:val="00923F2C"/>
    <w:rsid w:val="00937BDF"/>
    <w:rsid w:val="009465AE"/>
    <w:rsid w:val="00952F70"/>
    <w:rsid w:val="009742C8"/>
    <w:rsid w:val="00974CCE"/>
    <w:rsid w:val="009766B0"/>
    <w:rsid w:val="00980463"/>
    <w:rsid w:val="009865B4"/>
    <w:rsid w:val="009903C5"/>
    <w:rsid w:val="009921BB"/>
    <w:rsid w:val="00992919"/>
    <w:rsid w:val="009A462B"/>
    <w:rsid w:val="009B09D3"/>
    <w:rsid w:val="009C2D09"/>
    <w:rsid w:val="009D1CB5"/>
    <w:rsid w:val="009D1FA7"/>
    <w:rsid w:val="009D2098"/>
    <w:rsid w:val="009F2F8C"/>
    <w:rsid w:val="009F473A"/>
    <w:rsid w:val="00A1135A"/>
    <w:rsid w:val="00A32A0D"/>
    <w:rsid w:val="00A36D77"/>
    <w:rsid w:val="00A4410D"/>
    <w:rsid w:val="00A4524E"/>
    <w:rsid w:val="00A47BA9"/>
    <w:rsid w:val="00A55BA0"/>
    <w:rsid w:val="00A60B09"/>
    <w:rsid w:val="00A71DCD"/>
    <w:rsid w:val="00A76F2C"/>
    <w:rsid w:val="00A93AC7"/>
    <w:rsid w:val="00AA160A"/>
    <w:rsid w:val="00AA1807"/>
    <w:rsid w:val="00AA6FB8"/>
    <w:rsid w:val="00AB546E"/>
    <w:rsid w:val="00AD01CF"/>
    <w:rsid w:val="00AD3735"/>
    <w:rsid w:val="00B0080D"/>
    <w:rsid w:val="00B0175C"/>
    <w:rsid w:val="00B01F39"/>
    <w:rsid w:val="00B05349"/>
    <w:rsid w:val="00B062ED"/>
    <w:rsid w:val="00B15CBB"/>
    <w:rsid w:val="00B30FA9"/>
    <w:rsid w:val="00B331BB"/>
    <w:rsid w:val="00B516EF"/>
    <w:rsid w:val="00B54D5B"/>
    <w:rsid w:val="00B7127B"/>
    <w:rsid w:val="00B9165F"/>
    <w:rsid w:val="00BA1EC8"/>
    <w:rsid w:val="00BA3D7A"/>
    <w:rsid w:val="00BA5983"/>
    <w:rsid w:val="00BC2BD7"/>
    <w:rsid w:val="00BD310F"/>
    <w:rsid w:val="00BD682A"/>
    <w:rsid w:val="00BD68F4"/>
    <w:rsid w:val="00BE0E79"/>
    <w:rsid w:val="00BE75B4"/>
    <w:rsid w:val="00BE7E52"/>
    <w:rsid w:val="00BF408E"/>
    <w:rsid w:val="00BF6DA4"/>
    <w:rsid w:val="00BF7337"/>
    <w:rsid w:val="00C150BC"/>
    <w:rsid w:val="00C455E6"/>
    <w:rsid w:val="00C64B4D"/>
    <w:rsid w:val="00C670BA"/>
    <w:rsid w:val="00C7392C"/>
    <w:rsid w:val="00C97C89"/>
    <w:rsid w:val="00CB4762"/>
    <w:rsid w:val="00CC5EC3"/>
    <w:rsid w:val="00CD1620"/>
    <w:rsid w:val="00CF16D0"/>
    <w:rsid w:val="00CF54B4"/>
    <w:rsid w:val="00CF6EC8"/>
    <w:rsid w:val="00D06855"/>
    <w:rsid w:val="00D175E9"/>
    <w:rsid w:val="00D179CF"/>
    <w:rsid w:val="00D31F5B"/>
    <w:rsid w:val="00D427B1"/>
    <w:rsid w:val="00D4613F"/>
    <w:rsid w:val="00D54F9B"/>
    <w:rsid w:val="00D6179C"/>
    <w:rsid w:val="00D61F82"/>
    <w:rsid w:val="00D67825"/>
    <w:rsid w:val="00D80BEC"/>
    <w:rsid w:val="00DB1B40"/>
    <w:rsid w:val="00DB1ED7"/>
    <w:rsid w:val="00DB6C6A"/>
    <w:rsid w:val="00DC0150"/>
    <w:rsid w:val="00DC3156"/>
    <w:rsid w:val="00DC68FD"/>
    <w:rsid w:val="00E10D86"/>
    <w:rsid w:val="00E15319"/>
    <w:rsid w:val="00E20266"/>
    <w:rsid w:val="00E24DFF"/>
    <w:rsid w:val="00E378C9"/>
    <w:rsid w:val="00E461FF"/>
    <w:rsid w:val="00E4736F"/>
    <w:rsid w:val="00E83279"/>
    <w:rsid w:val="00EB12D5"/>
    <w:rsid w:val="00EB41BF"/>
    <w:rsid w:val="00EF0E67"/>
    <w:rsid w:val="00EF686C"/>
    <w:rsid w:val="00EF7287"/>
    <w:rsid w:val="00F04443"/>
    <w:rsid w:val="00F06C95"/>
    <w:rsid w:val="00F308C9"/>
    <w:rsid w:val="00F33E37"/>
    <w:rsid w:val="00F44D60"/>
    <w:rsid w:val="00F4704E"/>
    <w:rsid w:val="00F577A2"/>
    <w:rsid w:val="00F67774"/>
    <w:rsid w:val="00F705EC"/>
    <w:rsid w:val="00F95D9C"/>
    <w:rsid w:val="00F97643"/>
    <w:rsid w:val="00FB12F8"/>
    <w:rsid w:val="00FB5350"/>
    <w:rsid w:val="00FB74F7"/>
    <w:rsid w:val="00FC055F"/>
    <w:rsid w:val="00FC4DB3"/>
    <w:rsid w:val="00FC689D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0A8EAC98-9B36-409D-97C2-8FED2A36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237730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237730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2377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209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2098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2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8</Pages>
  <Words>3021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</cp:lastModifiedBy>
  <cp:revision>15</cp:revision>
  <cp:lastPrinted>2025-03-13T13:07:00Z</cp:lastPrinted>
  <dcterms:created xsi:type="dcterms:W3CDTF">2024-05-24T09:10:00Z</dcterms:created>
  <dcterms:modified xsi:type="dcterms:W3CDTF">2025-04-07T09:11:00Z</dcterms:modified>
</cp:coreProperties>
</file>